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tabs>
          <w:tab w:val="right" w:pos="9639"/>
        </w:tabs>
        <w:rPr>
          <w:rFonts w:hint="default" w:ascii="Arial" w:hAnsi="Arial" w:cs="Arial"/>
          <w:bCs/>
          <w:i/>
          <w:color w:val="000000" w:themeColor="text1"/>
          <w:sz w:val="20"/>
          <w:szCs w:val="20"/>
          <w:lang w:val="en-US" w:eastAsia="zh-CN"/>
          <w14:textFill>
            <w14:solidFill>
              <w14:schemeClr w14:val="tx1"/>
            </w14:solidFill>
          </w14:textFill>
        </w:rPr>
      </w:pPr>
      <w:r>
        <w:rPr>
          <w:rFonts w:hint="default" w:ascii="Arial" w:hAnsi="Arial" w:cs="Arial"/>
          <w:bCs/>
          <w:color w:val="000000" w:themeColor="text1"/>
          <w:sz w:val="20"/>
          <w:szCs w:val="20"/>
          <w14:textFill>
            <w14:solidFill>
              <w14:schemeClr w14:val="tx1"/>
            </w14:solidFill>
          </w14:textFill>
        </w:rPr>
        <w:t>3GPP TSG-RAN WG2 Meeting #1</w:t>
      </w:r>
      <w:r>
        <w:rPr>
          <w:rFonts w:hint="default" w:ascii="Arial" w:hAnsi="Arial" w:cs="Arial"/>
          <w:bCs/>
          <w:color w:val="000000" w:themeColor="text1"/>
          <w:sz w:val="20"/>
          <w:szCs w:val="20"/>
          <w:lang w:val="en-US"/>
          <w14:textFill>
            <w14:solidFill>
              <w14:schemeClr w14:val="tx1"/>
            </w14:solidFill>
          </w14:textFill>
        </w:rPr>
        <w:t>22</w:t>
      </w:r>
      <w:r>
        <w:rPr>
          <w:rFonts w:hint="default" w:ascii="Arial" w:hAnsi="Arial" w:cs="Arial"/>
          <w:bCs/>
          <w:color w:val="000000" w:themeColor="text1"/>
          <w:sz w:val="20"/>
          <w:szCs w:val="20"/>
          <w14:textFill>
            <w14:solidFill>
              <w14:schemeClr w14:val="tx1"/>
            </w14:solidFill>
          </w14:textFill>
        </w:rPr>
        <w:tab/>
      </w:r>
      <w:r>
        <w:rPr>
          <w:rFonts w:hint="default" w:ascii="Arial" w:hAnsi="Arial" w:cs="Arial"/>
          <w:bCs/>
          <w:color w:val="000000" w:themeColor="text1"/>
          <w:sz w:val="20"/>
          <w:szCs w:val="20"/>
          <w14:textFill>
            <w14:solidFill>
              <w14:schemeClr w14:val="tx1"/>
            </w14:solidFill>
          </w14:textFill>
        </w:rPr>
        <w:t>R2-2305600</w:t>
      </w:r>
    </w:p>
    <w:p>
      <w:pPr>
        <w:pStyle w:val="29"/>
        <w:textAlignment w:val="center"/>
        <w:rPr>
          <w:rFonts w:hint="default" w:ascii="Arial" w:hAnsi="Arial" w:cs="Arial"/>
          <w:bCs/>
          <w:color w:val="000000" w:themeColor="text1"/>
          <w:sz w:val="20"/>
          <w:szCs w:val="20"/>
          <w:lang w:eastAsia="zh-CN"/>
          <w14:textFill>
            <w14:solidFill>
              <w14:schemeClr w14:val="tx1"/>
            </w14:solidFill>
          </w14:textFill>
        </w:rPr>
      </w:pPr>
      <w:r>
        <w:rPr>
          <w:rFonts w:hint="default" w:ascii="Arial" w:hAnsi="Arial" w:cs="Arial"/>
          <w:bCs/>
          <w:color w:val="000000" w:themeColor="text1"/>
          <w:sz w:val="20"/>
          <w:szCs w:val="20"/>
          <w14:textFill>
            <w14:solidFill>
              <w14:schemeClr w14:val="tx1"/>
            </w14:solidFill>
          </w14:textFill>
        </w:rPr>
        <w:t>Incheon, Korea</w:t>
      </w:r>
      <w:r>
        <w:rPr>
          <w:rFonts w:hint="default" w:ascii="Arial" w:hAnsi="Arial" w:cs="Arial"/>
          <w:bCs/>
          <w:color w:val="000000" w:themeColor="text1"/>
          <w:sz w:val="20"/>
          <w:szCs w:val="20"/>
          <w:lang w:eastAsia="zh-CN"/>
          <w14:textFill>
            <w14:solidFill>
              <w14:schemeClr w14:val="tx1"/>
            </w14:solidFill>
          </w14:textFill>
        </w:rPr>
        <w:t xml:space="preserve">, </w:t>
      </w:r>
      <w:r>
        <w:rPr>
          <w:rFonts w:hint="default" w:ascii="Arial" w:hAnsi="Arial" w:cs="Arial"/>
          <w:bCs/>
          <w:color w:val="000000" w:themeColor="text1"/>
          <w:sz w:val="20"/>
          <w:szCs w:val="20"/>
          <w:lang w:val="en-US" w:eastAsia="zh-CN"/>
          <w14:textFill>
            <w14:solidFill>
              <w14:schemeClr w14:val="tx1"/>
            </w14:solidFill>
          </w14:textFill>
        </w:rPr>
        <w:t>May</w:t>
      </w:r>
      <w:r>
        <w:rPr>
          <w:rFonts w:hint="default" w:ascii="Arial" w:hAnsi="Arial" w:cs="Arial"/>
          <w:bCs/>
          <w:color w:val="000000" w:themeColor="text1"/>
          <w:sz w:val="20"/>
          <w:szCs w:val="20"/>
          <w:lang w:eastAsia="zh-CN"/>
          <w14:textFill>
            <w14:solidFill>
              <w14:schemeClr w14:val="tx1"/>
            </w14:solidFill>
          </w14:textFill>
        </w:rPr>
        <w:t xml:space="preserve"> </w:t>
      </w:r>
      <w:r>
        <w:rPr>
          <w:rFonts w:hint="default" w:ascii="Arial" w:hAnsi="Arial" w:cs="Arial"/>
          <w:bCs/>
          <w:color w:val="000000" w:themeColor="text1"/>
          <w:sz w:val="20"/>
          <w:szCs w:val="20"/>
          <w:lang w:val="en-US" w:eastAsia="zh-CN"/>
          <w14:textFill>
            <w14:solidFill>
              <w14:schemeClr w14:val="tx1"/>
            </w14:solidFill>
          </w14:textFill>
        </w:rPr>
        <w:t>22-26</w:t>
      </w:r>
      <w:r>
        <w:rPr>
          <w:rFonts w:hint="default" w:ascii="Arial" w:hAnsi="Arial" w:cs="Arial"/>
          <w:bCs/>
          <w:color w:val="000000" w:themeColor="text1"/>
          <w:sz w:val="20"/>
          <w:szCs w:val="20"/>
          <w:lang w:eastAsia="zh-CN"/>
          <w14:textFill>
            <w14:solidFill>
              <w14:schemeClr w14:val="tx1"/>
            </w14:solidFill>
          </w14:textFill>
        </w:rPr>
        <w:t>, 202</w:t>
      </w:r>
      <w:r>
        <w:rPr>
          <w:rFonts w:hint="default" w:ascii="Arial" w:hAnsi="Arial" w:cs="Arial"/>
          <w:bCs/>
          <w:color w:val="000000" w:themeColor="text1"/>
          <w:sz w:val="20"/>
          <w:szCs w:val="20"/>
          <w:lang w:val="en-US" w:eastAsia="zh-CN"/>
          <w14:textFill>
            <w14:solidFill>
              <w14:schemeClr w14:val="tx1"/>
            </w14:solidFill>
          </w14:textFill>
        </w:rPr>
        <w:t>3</w:t>
      </w:r>
    </w:p>
    <w:p>
      <w:pPr>
        <w:pStyle w:val="29"/>
        <w:textAlignment w:val="center"/>
        <w:rPr>
          <w:rFonts w:cs="Arial"/>
          <w:b w:val="0"/>
          <w:color w:val="000000" w:themeColor="text1"/>
          <w:sz w:val="20"/>
          <w:lang w:val="en-US" w:eastAsia="zh-CN"/>
          <w14:textFill>
            <w14:solidFill>
              <w14:schemeClr w14:val="tx1"/>
            </w14:solidFill>
          </w14:textFill>
        </w:rPr>
      </w:pPr>
    </w:p>
    <w:p>
      <w:pPr>
        <w:tabs>
          <w:tab w:val="left" w:pos="1985"/>
        </w:tabs>
        <w:spacing w:after="120"/>
        <w:rPr>
          <w:b/>
          <w:color w:val="000000" w:themeColor="text1"/>
          <w14:textFill>
            <w14:solidFill>
              <w14:schemeClr w14:val="tx1"/>
            </w14:solidFill>
          </w14:textFill>
        </w:rPr>
      </w:pPr>
      <w:r>
        <w:rPr>
          <w:rFonts w:cs="Arial"/>
          <w:b/>
          <w:color w:val="000000" w:themeColor="text1"/>
          <w14:textFill>
            <w14:solidFill>
              <w14:schemeClr w14:val="tx1"/>
            </w14:solidFill>
          </w14:textFill>
        </w:rPr>
        <w:t>Agenda Item:</w:t>
      </w:r>
      <w:r>
        <w:rPr>
          <w:rFonts w:cs="Arial"/>
          <w:b/>
          <w:color w:val="000000" w:themeColor="text1"/>
          <w14:textFill>
            <w14:solidFill>
              <w14:schemeClr w14:val="tx1"/>
            </w14:solidFill>
          </w14:textFill>
        </w:rPr>
        <w:tab/>
      </w:r>
      <w:bookmarkStart w:id="0" w:name="Source"/>
      <w:bookmarkEnd w:id="0"/>
      <w:r>
        <w:rPr>
          <w:rFonts w:hint="default" w:cs="Arial"/>
          <w:b/>
          <w:color w:val="000000" w:themeColor="text1"/>
          <w:lang w:val="en-US"/>
          <w14:textFill>
            <w14:solidFill>
              <w14:schemeClr w14:val="tx1"/>
            </w14:solidFill>
          </w14:textFill>
        </w:rPr>
        <w:t>7</w:t>
      </w:r>
      <w:r>
        <w:rPr>
          <w:rFonts w:cs="Arial"/>
          <w:b/>
          <w:color w:val="000000" w:themeColor="text1"/>
          <w14:textFill>
            <w14:solidFill>
              <w14:schemeClr w14:val="tx1"/>
            </w14:solidFill>
          </w14:textFill>
        </w:rPr>
        <w:t>.</w:t>
      </w:r>
      <w:r>
        <w:rPr>
          <w:rFonts w:hint="eastAsia" w:cs="Arial"/>
          <w:b/>
          <w:color w:val="000000" w:themeColor="text1"/>
          <w:lang w:eastAsia="zh-CN"/>
          <w14:textFill>
            <w14:solidFill>
              <w14:schemeClr w14:val="tx1"/>
            </w14:solidFill>
          </w14:textFill>
        </w:rPr>
        <w:t>8</w:t>
      </w:r>
      <w:r>
        <w:rPr>
          <w:rFonts w:cs="Arial"/>
          <w:b/>
          <w:color w:val="000000" w:themeColor="text1"/>
          <w14:textFill>
            <w14:solidFill>
              <w14:schemeClr w14:val="tx1"/>
            </w14:solidFill>
          </w14:textFill>
        </w:rPr>
        <w:t>.</w:t>
      </w:r>
      <w:r>
        <w:rPr>
          <w:rFonts w:hint="eastAsia" w:cs="Arial"/>
          <w:b/>
          <w:color w:val="000000" w:themeColor="text1"/>
          <w:lang w:eastAsia="zh-CN"/>
          <w14:textFill>
            <w14:solidFill>
              <w14:schemeClr w14:val="tx1"/>
            </w14:solidFill>
          </w14:textFill>
        </w:rPr>
        <w:t>2</w:t>
      </w:r>
      <w:r>
        <w:rPr>
          <w:color w:val="000000" w:themeColor="text1"/>
          <w14:textFill>
            <w14:solidFill>
              <w14:schemeClr w14:val="tx1"/>
            </w14:solidFill>
          </w14:textFill>
        </w:rPr>
        <w:tab/>
      </w:r>
      <w:r>
        <w:rPr>
          <w:rFonts w:cs="Arial"/>
          <w:b/>
          <w:color w:val="000000" w:themeColor="text1"/>
          <w14:textFill>
            <w14:solidFill>
              <w14:schemeClr w14:val="tx1"/>
            </w14:solidFill>
          </w14:textFill>
        </w:rPr>
        <w:tab/>
      </w:r>
    </w:p>
    <w:p>
      <w:pPr>
        <w:tabs>
          <w:tab w:val="left" w:pos="1985"/>
        </w:tabs>
        <w:spacing w:after="120"/>
        <w:rPr>
          <w:b/>
          <w:color w:val="000000" w:themeColor="text1"/>
          <w14:textFill>
            <w14:solidFill>
              <w14:schemeClr w14:val="tx1"/>
            </w14:solidFill>
          </w14:textFill>
        </w:rPr>
      </w:pPr>
      <w:r>
        <w:rPr>
          <w:rFonts w:cs="Arial"/>
          <w:b/>
          <w:color w:val="000000" w:themeColor="text1"/>
          <w14:textFill>
            <w14:solidFill>
              <w14:schemeClr w14:val="tx1"/>
            </w14:solidFill>
          </w14:textFill>
        </w:rPr>
        <w:t xml:space="preserve">Source: </w:t>
      </w:r>
      <w:r>
        <w:rPr>
          <w:rFonts w:cs="Arial"/>
          <w:b/>
          <w:color w:val="000000" w:themeColor="text1"/>
          <w14:textFill>
            <w14:solidFill>
              <w14:schemeClr w14:val="tx1"/>
            </w14:solidFill>
          </w14:textFill>
        </w:rPr>
        <w:tab/>
      </w:r>
      <w:r>
        <w:rPr>
          <w:rFonts w:cs="Arial"/>
          <w:b/>
          <w:color w:val="000000" w:themeColor="text1"/>
          <w14:textFill>
            <w14:solidFill>
              <w14:schemeClr w14:val="tx1"/>
            </w14:solidFill>
          </w14:textFill>
        </w:rPr>
        <w:t>CMCC</w:t>
      </w:r>
    </w:p>
    <w:p>
      <w:pPr>
        <w:spacing w:after="120"/>
        <w:ind w:left="1988" w:hanging="1988"/>
        <w:rPr>
          <w:b/>
          <w:color w:val="000000" w:themeColor="text1"/>
          <w:lang w:eastAsia="zh-CN"/>
          <w14:textFill>
            <w14:solidFill>
              <w14:schemeClr w14:val="tx1"/>
            </w14:solidFill>
          </w14:textFill>
        </w:rPr>
      </w:pPr>
      <w:r>
        <w:rPr>
          <w:rFonts w:cs="Arial"/>
          <w:b/>
          <w:color w:val="000000" w:themeColor="text1"/>
          <w14:textFill>
            <w14:solidFill>
              <w14:schemeClr w14:val="tx1"/>
            </w14:solidFill>
          </w14:textFill>
        </w:rPr>
        <w:t xml:space="preserve">Title: </w:t>
      </w:r>
      <w:r>
        <w:rPr>
          <w:rFonts w:cs="Arial"/>
          <w:b/>
          <w:color w:val="000000" w:themeColor="text1"/>
          <w14:textFill>
            <w14:solidFill>
              <w14:schemeClr w14:val="tx1"/>
            </w14:solidFill>
          </w14:textFill>
        </w:rPr>
        <w:tab/>
      </w:r>
      <w:r>
        <w:rPr>
          <w:rFonts w:hint="default" w:cs="Arial"/>
          <w:b/>
          <w:color w:val="000000" w:themeColor="text1"/>
          <w:lang w:val="en-US"/>
          <w14:textFill>
            <w14:solidFill>
              <w14:schemeClr w14:val="tx1"/>
            </w14:solidFill>
          </w14:textFill>
        </w:rPr>
        <w:t xml:space="preserve">Discussion on </w:t>
      </w:r>
      <w:r>
        <w:rPr>
          <w:rFonts w:cs="Arial"/>
          <w:b/>
          <w:color w:val="000000" w:themeColor="text1"/>
          <w:lang w:eastAsia="zh-CN"/>
          <w14:textFill>
            <w14:solidFill>
              <w14:schemeClr w14:val="tx1"/>
            </w14:solidFill>
          </w14:textFill>
        </w:rPr>
        <w:t xml:space="preserve">Measurement </w:t>
      </w:r>
      <w:r>
        <w:rPr>
          <w:rFonts w:hint="eastAsia" w:cs="Arial"/>
          <w:b/>
          <w:color w:val="000000" w:themeColor="text1"/>
          <w:lang w:eastAsia="zh-CN"/>
          <w14:textFill>
            <w14:solidFill>
              <w14:schemeClr w14:val="tx1"/>
            </w14:solidFill>
          </w14:textFill>
        </w:rPr>
        <w:t>R</w:t>
      </w:r>
      <w:r>
        <w:rPr>
          <w:rFonts w:cs="Arial"/>
          <w:b/>
          <w:color w:val="000000" w:themeColor="text1"/>
          <w:lang w:eastAsia="zh-CN"/>
          <w14:textFill>
            <w14:solidFill>
              <w14:schemeClr w14:val="tx1"/>
            </w14:solidFill>
          </w14:textFill>
        </w:rPr>
        <w:t>eporting</w:t>
      </w:r>
      <w:r>
        <w:rPr>
          <w:rFonts w:hint="eastAsia" w:cs="Arial"/>
          <w:b/>
          <w:color w:val="000000" w:themeColor="text1"/>
          <w:lang w:eastAsia="zh-CN"/>
          <w14:textFill>
            <w14:solidFill>
              <w14:schemeClr w14:val="tx1"/>
            </w14:solidFill>
          </w14:textFill>
        </w:rPr>
        <w:t xml:space="preserve"> for </w:t>
      </w:r>
      <w:r>
        <w:rPr>
          <w:rFonts w:cs="Arial"/>
          <w:b/>
          <w:color w:val="000000" w:themeColor="text1"/>
          <w:lang w:val="en-US" w:eastAsia="zh-CN"/>
          <w14:textFill>
            <w14:solidFill>
              <w14:schemeClr w14:val="tx1"/>
            </w14:solidFill>
          </w14:textFill>
        </w:rPr>
        <w:t xml:space="preserve">NR </w:t>
      </w:r>
      <w:r>
        <w:rPr>
          <w:rFonts w:hint="eastAsia" w:cs="Arial"/>
          <w:b/>
          <w:color w:val="000000" w:themeColor="text1"/>
          <w:lang w:eastAsia="zh-CN"/>
          <w14:textFill>
            <w14:solidFill>
              <w14:schemeClr w14:val="tx1"/>
            </w14:solidFill>
          </w14:textFill>
        </w:rPr>
        <w:t>UAV</w:t>
      </w:r>
    </w:p>
    <w:p>
      <w:pPr>
        <w:tabs>
          <w:tab w:val="left" w:pos="1985"/>
        </w:tabs>
        <w:spacing w:after="120"/>
        <w:ind w:right="-446"/>
        <w:rPr>
          <w:rFonts w:cs="Arial"/>
          <w:b/>
          <w:bCs/>
          <w:color w:val="000000" w:themeColor="text1"/>
          <w14:textFill>
            <w14:solidFill>
              <w14:schemeClr w14:val="tx1"/>
            </w14:solidFill>
          </w14:textFill>
        </w:rPr>
      </w:pPr>
      <w:r>
        <w:rPr>
          <w:rFonts w:cs="Arial"/>
          <w:b/>
          <w:color w:val="000000" w:themeColor="text1"/>
          <w14:textFill>
            <w14:solidFill>
              <w14:schemeClr w14:val="tx1"/>
            </w14:solidFill>
          </w14:textFill>
        </w:rPr>
        <w:t>Document for:</w:t>
      </w:r>
      <w:r>
        <w:rPr>
          <w:rFonts w:cs="Arial"/>
          <w:b/>
          <w:color w:val="000000" w:themeColor="text1"/>
          <w14:textFill>
            <w14:solidFill>
              <w14:schemeClr w14:val="tx1"/>
            </w14:solidFill>
          </w14:textFill>
        </w:rPr>
        <w:tab/>
      </w:r>
      <w:bookmarkStart w:id="1" w:name="DocumentFor"/>
      <w:bookmarkEnd w:id="1"/>
      <w:r>
        <w:rPr>
          <w:rFonts w:hint="eastAsia" w:cs="Arial"/>
          <w:b/>
          <w:color w:val="000000" w:themeColor="text1"/>
          <w14:textFill>
            <w14:solidFill>
              <w14:schemeClr w14:val="tx1"/>
            </w14:solidFill>
          </w14:textFill>
        </w:rPr>
        <w:t>Discussion, Decision</w:t>
      </w:r>
    </w:p>
    <w:p>
      <w:pPr>
        <w:pStyle w:val="2"/>
        <w:rPr>
          <w:color w:val="000000" w:themeColor="text1"/>
          <w14:textFill>
            <w14:solidFill>
              <w14:schemeClr w14:val="tx1"/>
            </w14:solidFill>
          </w14:textFill>
        </w:rPr>
      </w:pPr>
      <w:r>
        <w:rPr>
          <w:rFonts w:hint="default"/>
          <w:color w:val="000000" w:themeColor="text1"/>
          <w:lang w:val="en-US"/>
          <w14:textFill>
            <w14:solidFill>
              <w14:schemeClr w14:val="tx1"/>
            </w14:solidFill>
          </w14:textFill>
        </w:rPr>
        <w:t xml:space="preserve"> </w:t>
      </w:r>
      <w:r>
        <w:rPr>
          <w:color w:val="000000" w:themeColor="text1"/>
          <w14:textFill>
            <w14:solidFill>
              <w14:schemeClr w14:val="tx1"/>
            </w14:solidFill>
          </w14:textFill>
        </w:rPr>
        <w:t>Introduction</w:t>
      </w:r>
    </w:p>
    <w:p>
      <w:pPr>
        <w:rPr>
          <w:color w:val="000000" w:themeColor="text1"/>
          <w14:textFill>
            <w14:solidFill>
              <w14:schemeClr w14:val="tx1"/>
            </w14:solidFill>
          </w14:textFill>
        </w:rPr>
      </w:pPr>
      <w:r>
        <w:rPr>
          <w:bCs/>
          <w:color w:val="000000" w:themeColor="text1"/>
          <w:lang w:val="en-US"/>
          <w14:textFill>
            <w14:solidFill>
              <w14:schemeClr w14:val="tx1"/>
            </w14:solidFill>
          </w14:textFill>
        </w:rPr>
        <w:t>In</w:t>
      </w:r>
      <w:r>
        <w:rPr>
          <w:rFonts w:hint="default"/>
          <w:bCs/>
          <w:color w:val="000000" w:themeColor="text1"/>
          <w:lang w:val="en-US"/>
          <w14:textFill>
            <w14:solidFill>
              <w14:schemeClr w14:val="tx1"/>
            </w14:solidFill>
          </w14:textFill>
        </w:rPr>
        <w:t xml:space="preserve"> </w:t>
      </w:r>
      <w:r>
        <w:rPr>
          <w:rFonts w:hint="eastAsia"/>
          <w:bCs/>
          <w:color w:val="000000" w:themeColor="text1"/>
          <w:lang w:val="en-US"/>
          <w14:textFill>
            <w14:solidFill>
              <w14:schemeClr w14:val="tx1"/>
            </w14:solidFill>
          </w14:textFill>
        </w:rPr>
        <w:t>the last</w:t>
      </w:r>
      <w:r>
        <w:rPr>
          <w:rFonts w:hint="default"/>
          <w:bCs/>
          <w:color w:val="000000" w:themeColor="text1"/>
          <w:lang w:val="en-US"/>
          <w14:textFill>
            <w14:solidFill>
              <w14:schemeClr w14:val="tx1"/>
            </w14:solidFill>
          </w14:textFill>
        </w:rPr>
        <w:t xml:space="preserve"> </w:t>
      </w:r>
      <w:r>
        <w:rPr>
          <w:rFonts w:hint="eastAsia"/>
          <w:bCs/>
          <w:color w:val="000000" w:themeColor="text1"/>
          <w:lang w:val="en-US"/>
          <w14:textFill>
            <w14:solidFill>
              <w14:schemeClr w14:val="tx1"/>
            </w14:solidFill>
          </w14:textFill>
        </w:rPr>
        <w:t>meeting</w:t>
      </w:r>
      <w:r>
        <w:rPr>
          <w:bCs/>
          <w:color w:val="000000" w:themeColor="text1"/>
          <w:lang w:val="en-US"/>
          <w14:textFill>
            <w14:solidFill>
              <w14:schemeClr w14:val="tx1"/>
            </w14:solidFill>
          </w14:textFill>
        </w:rPr>
        <w:t>, there were some discussions about measurement reporting for NR UAV and agreements were achieved as follow</w:t>
      </w:r>
      <w:r>
        <w:rPr>
          <w:rFonts w:hint="eastAsia"/>
          <w:bCs/>
          <w:color w:val="000000" w:themeColor="text1"/>
          <w:lang w:val="en-US" w:eastAsia="zh-CN"/>
          <w14:textFill>
            <w14:solidFill>
              <w14:schemeClr w14:val="tx1"/>
            </w14:solidFill>
          </w14:textFill>
        </w:rPr>
        <w:t xml:space="preserve">s </w:t>
      </w:r>
      <w:r>
        <w:rPr>
          <w:bCs/>
          <w:color w:val="000000" w:themeColor="text1"/>
          <w:lang w:val="en-US"/>
          <w14:textFill>
            <w14:solidFill>
              <w14:schemeClr w14:val="tx1"/>
            </w14:solidFill>
          </w14:textFill>
        </w:rPr>
        <w:t xml:space="preserve">[1]: </w:t>
      </w:r>
    </w:p>
    <w:p>
      <w:pPr>
        <w:pStyle w:val="89"/>
        <w:pBdr>
          <w:top w:val="single" w:color="auto" w:sz="4" w:space="1"/>
          <w:left w:val="single" w:color="auto" w:sz="4" w:space="4"/>
          <w:bottom w:val="single" w:color="auto" w:sz="4" w:space="1"/>
          <w:right w:val="single" w:color="auto" w:sz="4" w:space="4"/>
        </w:pBdr>
        <w:rPr>
          <w:b/>
          <w:bCs/>
          <w:color w:val="000000" w:themeColor="text1"/>
          <w14:textFill>
            <w14:solidFill>
              <w14:schemeClr w14:val="tx1"/>
            </w14:solidFill>
          </w14:textFill>
        </w:rPr>
      </w:pPr>
      <w:r>
        <w:rPr>
          <w:b/>
          <w:bCs/>
          <w:color w:val="000000" w:themeColor="text1"/>
          <w14:textFill>
            <w14:solidFill>
              <w14:schemeClr w14:val="tx1"/>
            </w14:solidFill>
          </w14:textFill>
        </w:rPr>
        <w:t>Agreements</w:t>
      </w:r>
    </w:p>
    <w:p>
      <w:pPr>
        <w:pStyle w:val="89"/>
        <w:numPr>
          <w:ilvl w:val="0"/>
          <w:numId w:val="7"/>
        </w:numPr>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Height-dependent more-than-one configurations is supported on parameter/field level (i.e. different fields/values within the same MO) where different values (or value ranges) of the parameter/field applies to different height or height range.</w:t>
      </w:r>
    </w:p>
    <w:p>
      <w:pPr>
        <w:pStyle w:val="89"/>
        <w:numPr>
          <w:ilvl w:val="0"/>
          <w:numId w:val="7"/>
        </w:numPr>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 xml:space="preserve">For MO configuration parameters: at least the following will have ability to be configured with height-dependent more-than-one configurations/values, each for a specific height region: SSB-ToMeasure. Details on how to specify is FFS.    FFS on UE behavior on L1 and L3 measurement.  </w:t>
      </w:r>
    </w:p>
    <w:p>
      <w:pPr>
        <w:pStyle w:val="89"/>
        <w:numPr>
          <w:ilvl w:val="0"/>
          <w:numId w:val="7"/>
        </w:numPr>
        <w:pBdr>
          <w:top w:val="single" w:color="auto" w:sz="4" w:space="1"/>
          <w:left w:val="single" w:color="auto" w:sz="4" w:space="4"/>
          <w:bottom w:val="single" w:color="auto" w:sz="4" w:space="1"/>
          <w:right w:val="single" w:color="auto" w:sz="4" w:space="4"/>
        </w:pBdr>
        <w:rPr>
          <w:i/>
          <w:iCs/>
          <w:color w:val="000000" w:themeColor="text1"/>
          <w14:textFill>
            <w14:solidFill>
              <w14:schemeClr w14:val="tx1"/>
            </w14:solidFill>
          </w14:textFill>
        </w:rPr>
      </w:pPr>
      <w:r>
        <w:rPr>
          <w:color w:val="000000" w:themeColor="text1"/>
          <w14:textFill>
            <w14:solidFill>
              <w14:schemeClr w14:val="tx1"/>
            </w14:solidFill>
          </w14:textFill>
        </w:rPr>
        <w:t xml:space="preserve"> For MR configuration parameters: at least the following will have ability to be configured with height-dependent more-than-one configurations/values, each for a specific height region: Event A4 threshold and numberoftriggeringcells.  Details on how to specify is FFS (i.e. maybe it can be achieved by combination of events).</w:t>
      </w:r>
      <w:r>
        <w:rPr>
          <w:i/>
          <w:iCs/>
          <w:color w:val="000000" w:themeColor="text1"/>
          <w14:textFill>
            <w14:solidFill>
              <w14:schemeClr w14:val="tx1"/>
            </w14:solidFill>
          </w14:textFill>
        </w:rPr>
        <w:t xml:space="preserve">   </w:t>
      </w:r>
    </w:p>
    <w:p>
      <w:pPr>
        <w:pStyle w:val="89"/>
        <w:numPr>
          <w:ilvl w:val="0"/>
          <w:numId w:val="7"/>
        </w:numPr>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When height-dependent more-than-one configurations are provided, UE applies the new value once it moves to new height (or height range) similar to the case of RRC reconfiguration. Need Codes, field descriptions, etc. as in legacy specifications apply</w:t>
      </w:r>
    </w:p>
    <w:p>
      <w:pPr>
        <w:pStyle w:val="89"/>
        <w:numPr>
          <w:ilvl w:val="0"/>
          <w:numId w:val="7"/>
        </w:numPr>
        <w:pBdr>
          <w:top w:val="single" w:color="auto" w:sz="4" w:space="1"/>
          <w:left w:val="single" w:color="auto" w:sz="4" w:space="4"/>
          <w:bottom w:val="single" w:color="auto" w:sz="4" w:space="1"/>
          <w:right w:val="single" w:color="auto" w:sz="4" w:space="4"/>
        </w:pBdr>
        <w:rPr>
          <w:color w:val="000000" w:themeColor="text1"/>
          <w14:textFill>
            <w14:solidFill>
              <w14:schemeClr w14:val="tx1"/>
            </w14:solidFill>
          </w14:textFill>
        </w:rPr>
      </w:pPr>
      <w:r>
        <w:rPr>
          <w:color w:val="000000" w:themeColor="text1"/>
          <w14:textFill>
            <w14:solidFill>
              <w14:schemeClr w14:val="tx1"/>
            </w14:solidFill>
          </w14:textFill>
        </w:rPr>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   FFS details</w:t>
      </w:r>
    </w:p>
    <w:p>
      <w:pP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I</w:t>
      </w:r>
      <w:r>
        <w:rPr>
          <w:color w:val="000000" w:themeColor="text1"/>
          <w:lang w:eastAsia="zh-CN"/>
          <w14:textFill>
            <w14:solidFill>
              <w14:schemeClr w14:val="tx1"/>
            </w14:solidFill>
          </w14:textFill>
        </w:rPr>
        <w:t xml:space="preserve">n this contribution, we </w:t>
      </w:r>
      <w:r>
        <w:rPr>
          <w:rFonts w:hint="default"/>
          <w:color w:val="000000" w:themeColor="text1"/>
          <w:lang w:val="en-US" w:eastAsia="zh-CN"/>
          <w14:textFill>
            <w14:solidFill>
              <w14:schemeClr w14:val="tx1"/>
            </w14:solidFill>
          </w14:textFill>
        </w:rPr>
        <w:t xml:space="preserve">would like to provide some considerations </w:t>
      </w:r>
      <w:r>
        <w:rPr>
          <w:color w:val="000000" w:themeColor="text1"/>
          <w:lang w:eastAsia="zh-CN"/>
          <w14:textFill>
            <w14:solidFill>
              <w14:schemeClr w14:val="tx1"/>
            </w14:solidFill>
          </w14:textFill>
        </w:rPr>
        <w:t xml:space="preserve">on the </w:t>
      </w:r>
      <w:r>
        <w:rPr>
          <w:rFonts w:hint="eastAsia"/>
          <w:color w:val="000000" w:themeColor="text1"/>
          <w:lang w:val="en-US" w:eastAsia="zh-CN"/>
          <w14:textFill>
            <w14:solidFill>
              <w14:schemeClr w14:val="tx1"/>
            </w14:solidFill>
          </w14:textFill>
        </w:rPr>
        <w:t xml:space="preserve">left open issues </w:t>
      </w:r>
      <w:r>
        <w:rPr>
          <w:color w:val="000000" w:themeColor="text1"/>
          <w:lang w:val="en-US" w:eastAsia="zh-CN"/>
          <w14:textFill>
            <w14:solidFill>
              <w14:schemeClr w14:val="tx1"/>
            </w14:solidFill>
          </w14:textFill>
        </w:rPr>
        <w:t>for NR UAV</w:t>
      </w:r>
      <w:r>
        <w:rPr>
          <w:rFonts w:hint="default"/>
          <w:color w:val="000000" w:themeColor="text1"/>
          <w:lang w:val="en-US" w:eastAsia="zh-CN"/>
          <w14:textFill>
            <w14:solidFill>
              <w14:schemeClr w14:val="tx1"/>
            </w14:solidFill>
          </w14:textFill>
        </w:rPr>
        <w:t xml:space="preserve"> measurement reporting</w:t>
      </w:r>
      <w:r>
        <w:rPr>
          <w:color w:val="000000" w:themeColor="text1"/>
          <w:lang w:val="en-US" w:eastAsia="zh-CN"/>
          <w14:textFill>
            <w14:solidFill>
              <w14:schemeClr w14:val="tx1"/>
            </w14:solidFill>
          </w14:textFill>
        </w:rPr>
        <w:t>.</w:t>
      </w:r>
    </w:p>
    <w:p>
      <w:pPr>
        <w:pStyle w:val="2"/>
        <w:rPr>
          <w:color w:val="000000" w:themeColor="text1"/>
          <w14:textFill>
            <w14:solidFill>
              <w14:schemeClr w14:val="tx1"/>
            </w14:solidFill>
          </w14:textFill>
        </w:rPr>
      </w:pPr>
      <w:r>
        <w:rPr>
          <w:rFonts w:hint="default"/>
          <w:color w:val="000000" w:themeColor="text1"/>
          <w:lang w:val="en-US"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Discussion</w:t>
      </w:r>
    </w:p>
    <w:p>
      <w:pPr>
        <w:pStyle w:val="4"/>
        <w:rPr>
          <w:b/>
          <w:bCs/>
          <w:color w:val="000000" w:themeColor="text1"/>
          <w:lang w:eastAsia="zh-CN"/>
          <w14:textFill>
            <w14:solidFill>
              <w14:schemeClr w14:val="tx1"/>
            </w14:solidFill>
          </w14:textFill>
        </w:rPr>
      </w:pPr>
      <w:r>
        <w:rPr>
          <w:b/>
          <w:bCs/>
          <w:color w:val="000000" w:themeColor="text1"/>
          <w:lang w:eastAsia="zh-CN"/>
          <w14:textFill>
            <w14:solidFill>
              <w14:schemeClr w14:val="tx1"/>
            </w14:solidFill>
          </w14:textFill>
        </w:rPr>
        <w:t xml:space="preserve"> </w:t>
      </w:r>
      <w:r>
        <w:rPr>
          <w:rFonts w:hint="default"/>
          <w:b/>
          <w:bCs/>
          <w:color w:val="000000" w:themeColor="text1"/>
          <w:lang w:val="en-US" w:eastAsia="zh-CN"/>
          <w14:textFill>
            <w14:solidFill>
              <w14:schemeClr w14:val="tx1"/>
            </w14:solidFill>
          </w14:textFill>
        </w:rPr>
        <w:t>H</w:t>
      </w:r>
      <w:r>
        <w:rPr>
          <w:rFonts w:hint="eastAsia"/>
          <w:b/>
          <w:bCs/>
          <w:color w:val="000000" w:themeColor="text1"/>
          <w:lang w:eastAsia="zh-CN"/>
          <w14:textFill>
            <w14:solidFill>
              <w14:schemeClr w14:val="tx1"/>
            </w14:solidFill>
          </w14:textFill>
        </w:rPr>
        <w:t>eight-dependent more-than-one</w:t>
      </w:r>
      <w:r>
        <w:rPr>
          <w:rFonts w:hint="default"/>
          <w:b/>
          <w:bCs/>
          <w:color w:val="000000" w:themeColor="text1"/>
          <w:lang w:val="en-US" w:eastAsia="zh-CN"/>
          <w14:textFill>
            <w14:solidFill>
              <w14:schemeClr w14:val="tx1"/>
            </w14:solidFill>
          </w14:textFill>
        </w:rPr>
        <w:t xml:space="preserve"> </w:t>
      </w:r>
      <w:r>
        <w:rPr>
          <w:rFonts w:hint="eastAsia"/>
          <w:b/>
          <w:bCs/>
          <w:color w:val="000000" w:themeColor="text1"/>
          <w:lang w:eastAsia="zh-CN"/>
          <w14:textFill>
            <w14:solidFill>
              <w14:schemeClr w14:val="tx1"/>
            </w14:solidFill>
          </w14:textFill>
        </w:rPr>
        <w:t>configurations</w:t>
      </w:r>
      <w:r>
        <w:rPr>
          <w:rFonts w:hint="default"/>
          <w:b/>
          <w:bCs/>
          <w:color w:val="000000" w:themeColor="text1"/>
          <w:lang w:val="en-US" w:eastAsia="zh-CN"/>
          <w14:textFill>
            <w14:solidFill>
              <w14:schemeClr w14:val="tx1"/>
            </w14:solidFill>
          </w14:textFill>
        </w:rPr>
        <w:t xml:space="preserve"> for MO</w:t>
      </w:r>
    </w:p>
    <w:p>
      <w:pPr>
        <w:rPr>
          <w:rFonts w:hint="default" w:cs="Arial" w:eastAsiaTheme="minorEastAsia"/>
          <w:bCs/>
          <w:i w:val="0"/>
          <w:iCs w:val="0"/>
          <w:color w:val="000000" w:themeColor="text1"/>
          <w:lang w:val="en-US" w:eastAsia="zh-CN"/>
          <w14:textFill>
            <w14:solidFill>
              <w14:schemeClr w14:val="tx1"/>
            </w14:solidFill>
          </w14:textFill>
        </w:rPr>
      </w:pPr>
      <w:r>
        <w:rPr>
          <w:rFonts w:hint="default" w:cs="Arial" w:eastAsiaTheme="minorEastAsia"/>
          <w:bCs/>
          <w:color w:val="000000" w:themeColor="text1"/>
          <w:lang w:val="en-US" w:eastAsia="zh-CN"/>
          <w14:textFill>
            <w14:solidFill>
              <w14:schemeClr w14:val="tx1"/>
            </w14:solidFill>
          </w14:textFill>
        </w:rPr>
        <w:t>In last RAN2 meeting, we agreed</w:t>
      </w:r>
      <w:r>
        <w:rPr>
          <w:rFonts w:hint="default" w:cs="Arial" w:eastAsiaTheme="minorEastAsia"/>
          <w:bCs/>
          <w:i/>
          <w:iCs/>
          <w:color w:val="000000" w:themeColor="text1"/>
          <w:lang w:val="en-US" w:eastAsia="zh-CN"/>
          <w14:textFill>
            <w14:solidFill>
              <w14:schemeClr w14:val="tx1"/>
            </w14:solidFill>
          </w14:textFill>
        </w:rPr>
        <w:t xml:space="preserve"> for MO configuration parameters: at least the following will have ability to be configured with height-dependent more-than-one configurations/values, each for a specific height region: SSB-ToMeasure. Details on how to specify is FFS. FFS on UE behavior on L1 and L3 measurement</w:t>
      </w:r>
      <w:r>
        <w:rPr>
          <w:rFonts w:hint="default" w:cs="Arial" w:eastAsiaTheme="minorEastAsia"/>
          <w:bCs/>
          <w:color w:val="000000" w:themeColor="text1"/>
          <w:lang w:val="en-US" w:eastAsia="zh-CN"/>
          <w14:textFill>
            <w14:solidFill>
              <w14:schemeClr w14:val="tx1"/>
            </w14:solidFill>
          </w14:textFill>
        </w:rPr>
        <w:t>. For the first FFS issue, we could consider to configure a height range association a SSB set, and each SSB set contain several SSBs with side lobe of uptiled or downtiled excluded(i.e. if UAV UE height is above/below a threshold, the corresponding SSB set does not contain the side lobe of downtiled/uptiled).</w:t>
      </w:r>
      <w:r>
        <w:rPr>
          <w:rFonts w:hint="default" w:cs="Arial" w:eastAsiaTheme="minorEastAsia"/>
          <w:bCs/>
          <w:color w:val="000000" w:themeColor="text1"/>
          <w:lang w:val="en-US" w:eastAsia="zh-CN"/>
          <w14:textFill>
            <w14:solidFill>
              <w14:schemeClr w14:val="tx1"/>
            </w14:solidFill>
          </w14:textFill>
        </w:rPr>
        <w:t xml:space="preserve"> For second FFS issue, upon UE receives MO with different </w:t>
      </w:r>
      <w:r>
        <w:rPr>
          <w:rFonts w:hint="default" w:cs="Arial" w:eastAsiaTheme="minorEastAsia"/>
          <w:bCs/>
          <w:i/>
          <w:iCs/>
          <w:color w:val="000000" w:themeColor="text1"/>
          <w:lang w:val="en-US" w:eastAsia="zh-CN"/>
          <w14:textFill>
            <w14:solidFill>
              <w14:schemeClr w14:val="tx1"/>
            </w14:solidFill>
          </w14:textFill>
        </w:rPr>
        <w:t>SSB-ToMeasure</w:t>
      </w:r>
      <w:r>
        <w:rPr>
          <w:rFonts w:hint="default" w:cs="Arial" w:eastAsiaTheme="minorEastAsia"/>
          <w:bCs/>
          <w:i w:val="0"/>
          <w:iCs w:val="0"/>
          <w:color w:val="000000" w:themeColor="text1"/>
          <w:lang w:val="en-US" w:eastAsia="zh-CN"/>
          <w14:textFill>
            <w14:solidFill>
              <w14:schemeClr w14:val="tx1"/>
            </w14:solidFill>
          </w14:textFill>
        </w:rPr>
        <w:t xml:space="preserve">, the consequent behaviour is expected to be same as in legacy(e.g. after </w:t>
      </w:r>
      <w:r>
        <w:rPr>
          <w:rFonts w:eastAsia="宋体"/>
          <w:color w:val="000000" w:themeColor="text1"/>
          <w:lang w:eastAsia="zh-CN"/>
          <w14:textFill>
            <w14:solidFill>
              <w14:schemeClr w14:val="tx1"/>
            </w14:solidFill>
          </w14:textFill>
        </w:rPr>
        <w:t>RRCReconfiguration</w:t>
      </w:r>
      <w:r>
        <w:rPr>
          <w:rFonts w:hint="default" w:eastAsia="宋体"/>
          <w:color w:val="000000" w:themeColor="text1"/>
          <w:lang w:val="en-US" w:eastAsia="zh-CN"/>
          <w14:textFill>
            <w14:solidFill>
              <w14:schemeClr w14:val="tx1"/>
            </w14:solidFill>
          </w14:textFill>
        </w:rPr>
        <w:t xml:space="preserve"> reception</w:t>
      </w:r>
      <w:r>
        <w:rPr>
          <w:rFonts w:hint="default" w:cs="Arial" w:eastAsiaTheme="minorEastAsia"/>
          <w:bCs/>
          <w:i w:val="0"/>
          <w:iCs w:val="0"/>
          <w:color w:val="000000" w:themeColor="text1"/>
          <w:lang w:val="en-US" w:eastAsia="zh-CN"/>
          <w14:textFill>
            <w14:solidFill>
              <w14:schemeClr w14:val="tx1"/>
            </w14:solidFill>
          </w14:textFill>
        </w:rPr>
        <w:t>)</w:t>
      </w:r>
      <w:r>
        <w:rPr>
          <w:rFonts w:hint="default" w:eastAsia="宋体"/>
          <w:color w:val="000000" w:themeColor="text1"/>
          <w:lang w:val="en-US" w:eastAsia="zh-CN"/>
          <w14:textFill>
            <w14:solidFill>
              <w14:schemeClr w14:val="tx1"/>
            </w14:solidFill>
          </w14:textFill>
        </w:rPr>
        <w:t xml:space="preserve">. </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b/>
          <w:color w:val="000000" w:themeColor="text1"/>
          <w:lang w:val="en-US" w:eastAsia="zh-CN"/>
          <w14:textFill>
            <w14:solidFill>
              <w14:schemeClr w14:val="tx1"/>
            </w14:solidFill>
          </w14:textFill>
        </w:rPr>
      </w:pPr>
      <w:r>
        <w:rPr>
          <w:rFonts w:hint="eastAsia"/>
          <w:b/>
          <w:color w:val="000000" w:themeColor="text1"/>
          <w:lang w:val="en-US" w:eastAsia="zh-CN"/>
          <w14:textFill>
            <w14:solidFill>
              <w14:schemeClr w14:val="tx1"/>
            </w14:solidFill>
          </w14:textFill>
        </w:rPr>
        <w:t>Proposal</w:t>
      </w:r>
      <w:r>
        <w:rPr>
          <w:rFonts w:hint="default"/>
          <w:b/>
          <w:color w:val="000000" w:themeColor="text1"/>
          <w:lang w:val="en-US" w:eastAsia="zh-CN"/>
          <w14:textFill>
            <w14:solidFill>
              <w14:schemeClr w14:val="tx1"/>
            </w14:solidFill>
          </w14:textFill>
        </w:rPr>
        <w:t xml:space="preserve"> 1</w:t>
      </w:r>
      <w:r>
        <w:rPr>
          <w:rFonts w:hint="eastAsia"/>
          <w:b/>
          <w:color w:val="000000" w:themeColor="text1"/>
          <w:lang w:val="en-US" w:eastAsia="zh-CN"/>
          <w14:textFill>
            <w14:solidFill>
              <w14:schemeClr w14:val="tx1"/>
            </w14:solidFill>
          </w14:textFill>
        </w:rPr>
        <w:t xml:space="preserve">: </w:t>
      </w:r>
      <w:r>
        <w:rPr>
          <w:rFonts w:hint="default"/>
          <w:b/>
          <w:color w:val="000000" w:themeColor="text1"/>
          <w:lang w:val="en-US" w:eastAsia="zh-CN"/>
          <w14:textFill>
            <w14:solidFill>
              <w14:schemeClr w14:val="tx1"/>
            </w14:solidFill>
          </w14:textFill>
        </w:rPr>
        <w:t>It is proposed to configure a height range association a SSB set, and each SSB set contain several SSBs with side lob</w:t>
      </w:r>
      <w:bookmarkStart w:id="2" w:name="_GoBack"/>
      <w:bookmarkEnd w:id="2"/>
      <w:r>
        <w:rPr>
          <w:rFonts w:hint="default"/>
          <w:b/>
          <w:color w:val="000000" w:themeColor="text1"/>
          <w:lang w:val="en-US" w:eastAsia="zh-CN"/>
          <w14:textFill>
            <w14:solidFill>
              <w14:schemeClr w14:val="tx1"/>
            </w14:solidFill>
          </w14:textFill>
        </w:rPr>
        <w:t>e of uptiled or downtiled excluded(i.e. if UAV UE height is above/below a threshold, the corresponding SSB set does not contain the side lobe of downtiled/uptiled).</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b/>
          <w:color w:val="000000" w:themeColor="text1"/>
          <w:lang w:val="en-US" w:eastAsia="zh-CN"/>
          <w14:textFill>
            <w14:solidFill>
              <w14:schemeClr w14:val="tx1"/>
            </w14:solidFill>
          </w14:textFill>
        </w:rPr>
      </w:pPr>
      <w:r>
        <w:rPr>
          <w:rFonts w:hint="eastAsia"/>
          <w:b/>
          <w:color w:val="000000" w:themeColor="text1"/>
          <w:lang w:val="en-US" w:eastAsia="zh-CN"/>
          <w14:textFill>
            <w14:solidFill>
              <w14:schemeClr w14:val="tx1"/>
            </w14:solidFill>
          </w14:textFill>
        </w:rPr>
        <w:t>Proposal</w:t>
      </w:r>
      <w:r>
        <w:rPr>
          <w:rFonts w:hint="default"/>
          <w:b/>
          <w:color w:val="000000" w:themeColor="text1"/>
          <w:lang w:val="en-US" w:eastAsia="zh-CN"/>
          <w14:textFill>
            <w14:solidFill>
              <w14:schemeClr w14:val="tx1"/>
            </w14:solidFill>
          </w14:textFill>
        </w:rPr>
        <w:t xml:space="preserve"> 2</w:t>
      </w:r>
      <w:r>
        <w:rPr>
          <w:rFonts w:hint="eastAsia"/>
          <w:b/>
          <w:color w:val="000000" w:themeColor="text1"/>
          <w:lang w:val="en-US" w:eastAsia="zh-CN"/>
          <w14:textFill>
            <w14:solidFill>
              <w14:schemeClr w14:val="tx1"/>
            </w14:solidFill>
          </w14:textFill>
        </w:rPr>
        <w:t>:</w:t>
      </w:r>
      <w:r>
        <w:rPr>
          <w:rFonts w:hint="default"/>
          <w:b/>
          <w:color w:val="000000" w:themeColor="text1"/>
          <w:lang w:val="en-US" w:eastAsia="zh-CN"/>
          <w14:textFill>
            <w14:solidFill>
              <w14:schemeClr w14:val="tx1"/>
            </w14:solidFill>
          </w14:textFill>
        </w:rPr>
        <w:t xml:space="preserve"> Upon UE receives MO with different SSB-ToMeasure, the consequent behaviour is expected to be same as in legacy(e.g. after RRCReconfiguration reception). </w:t>
      </w:r>
    </w:p>
    <w:p>
      <w:pPr>
        <w:pStyle w:val="4"/>
        <w:rPr>
          <w:b/>
          <w:bCs/>
          <w:color w:val="000000" w:themeColor="text1"/>
          <w:lang w:eastAsia="zh-CN"/>
          <w14:textFill>
            <w14:solidFill>
              <w14:schemeClr w14:val="tx1"/>
            </w14:solidFill>
          </w14:textFill>
        </w:rPr>
      </w:pPr>
      <w:r>
        <w:rPr>
          <w:b/>
          <w:bCs/>
          <w:color w:val="000000" w:themeColor="text1"/>
          <w:lang w:eastAsia="zh-CN"/>
          <w14:textFill>
            <w14:solidFill>
              <w14:schemeClr w14:val="tx1"/>
            </w14:solidFill>
          </w14:textFill>
        </w:rPr>
        <w:t xml:space="preserve"> </w:t>
      </w:r>
      <w:r>
        <w:rPr>
          <w:rFonts w:hint="default"/>
          <w:b/>
          <w:bCs/>
          <w:color w:val="000000" w:themeColor="text1"/>
          <w:lang w:val="en-US" w:eastAsia="zh-CN"/>
          <w14:textFill>
            <w14:solidFill>
              <w14:schemeClr w14:val="tx1"/>
            </w14:solidFill>
          </w14:textFill>
        </w:rPr>
        <w:t>H</w:t>
      </w:r>
      <w:r>
        <w:rPr>
          <w:rFonts w:hint="eastAsia"/>
          <w:b/>
          <w:bCs/>
          <w:color w:val="000000" w:themeColor="text1"/>
          <w:lang w:eastAsia="zh-CN"/>
          <w14:textFill>
            <w14:solidFill>
              <w14:schemeClr w14:val="tx1"/>
            </w14:solidFill>
          </w14:textFill>
        </w:rPr>
        <w:t>eight-dependent more-than-one</w:t>
      </w:r>
      <w:r>
        <w:rPr>
          <w:rFonts w:hint="default"/>
          <w:b/>
          <w:bCs/>
          <w:color w:val="000000" w:themeColor="text1"/>
          <w:lang w:val="en-US" w:eastAsia="zh-CN"/>
          <w14:textFill>
            <w14:solidFill>
              <w14:schemeClr w14:val="tx1"/>
            </w14:solidFill>
          </w14:textFill>
        </w:rPr>
        <w:t xml:space="preserve"> </w:t>
      </w:r>
      <w:r>
        <w:rPr>
          <w:rFonts w:hint="eastAsia"/>
          <w:b/>
          <w:bCs/>
          <w:color w:val="000000" w:themeColor="text1"/>
          <w:lang w:eastAsia="zh-CN"/>
          <w14:textFill>
            <w14:solidFill>
              <w14:schemeClr w14:val="tx1"/>
            </w14:solidFill>
          </w14:textFill>
        </w:rPr>
        <w:t>configurations</w:t>
      </w:r>
      <w:r>
        <w:rPr>
          <w:rFonts w:hint="default"/>
          <w:b/>
          <w:bCs/>
          <w:color w:val="000000" w:themeColor="text1"/>
          <w:lang w:val="en-US" w:eastAsia="zh-CN"/>
          <w14:textFill>
            <w14:solidFill>
              <w14:schemeClr w14:val="tx1"/>
            </w14:solidFill>
          </w14:textFill>
        </w:rPr>
        <w:t xml:space="preserve"> for MR</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eastAsia="Arial Unicode MS"/>
          <w:color w:val="000000" w:themeColor="text1"/>
          <w:lang w:val="en-US" w:eastAsia="zh-CN"/>
          <w14:textFill>
            <w14:solidFill>
              <w14:schemeClr w14:val="tx1"/>
            </w14:solidFill>
          </w14:textFill>
        </w:rPr>
      </w:pPr>
      <w:r>
        <w:rPr>
          <w:rFonts w:hint="default" w:cs="Arial" w:eastAsiaTheme="minorEastAsia"/>
          <w:bCs/>
          <w:color w:val="000000" w:themeColor="text1"/>
          <w:lang w:val="en-US" w:eastAsia="zh-CN"/>
          <w14:textFill>
            <w14:solidFill>
              <w14:schemeClr w14:val="tx1"/>
            </w14:solidFill>
          </w14:textFill>
        </w:rPr>
        <w:t xml:space="preserve">Then for MR configuration, we have also agreed to configure </w:t>
      </w:r>
      <w:r>
        <w:rPr>
          <w:color w:val="000000" w:themeColor="text1"/>
          <w14:textFill>
            <w14:solidFill>
              <w14:schemeClr w14:val="tx1"/>
            </w14:solidFill>
          </w14:textFill>
        </w:rPr>
        <w:t>more-than-one configurations/values</w:t>
      </w:r>
      <w:r>
        <w:rPr>
          <w:rFonts w:hint="default"/>
          <w:color w:val="000000" w:themeColor="text1"/>
          <w:lang w:val="en-US"/>
          <w14:textFill>
            <w14:solidFill>
              <w14:schemeClr w14:val="tx1"/>
            </w14:solidFill>
          </w14:textFill>
        </w:rPr>
        <w:t>(at least e</w:t>
      </w:r>
      <w:r>
        <w:rPr>
          <w:color w:val="000000" w:themeColor="text1"/>
          <w14:textFill>
            <w14:solidFill>
              <w14:schemeClr w14:val="tx1"/>
            </w14:solidFill>
          </w14:textFill>
        </w:rPr>
        <w:t>vent A4 threshold and numberoftriggeringcells</w:t>
      </w:r>
      <w:r>
        <w:rPr>
          <w:rFonts w:hint="default"/>
          <w:color w:val="000000" w:themeColor="text1"/>
          <w:lang w:val="en-US"/>
          <w14:textFill>
            <w14:solidFill>
              <w14:schemeClr w14:val="tx1"/>
            </w14:solidFill>
          </w14:textFill>
        </w:rPr>
        <w:t xml:space="preserve">) based on UAV UE height. Considering that we have already reached the agreement on combination of </w:t>
      </w:r>
      <w:r>
        <w:rPr>
          <w:color w:val="000000" w:themeColor="text1"/>
          <w14:textFill>
            <w14:solidFill>
              <w14:schemeClr w14:val="tx1"/>
            </w14:solidFill>
          </w14:textFill>
        </w:rPr>
        <w:t>height-dependent condition and RSRP/RSRQ/SINR-based condition</w:t>
      </w:r>
      <w:r>
        <w:rPr>
          <w:rFonts w:hint="default"/>
          <w:color w:val="000000" w:themeColor="text1"/>
          <w:lang w:val="en-US"/>
          <w14:textFill>
            <w14:solidFill>
              <w14:schemeClr w14:val="tx1"/>
            </w14:solidFill>
          </w14:textFill>
        </w:rPr>
        <w:t>, therefore e</w:t>
      </w:r>
      <w:r>
        <w:rPr>
          <w:color w:val="000000" w:themeColor="text1"/>
          <w14:textFill>
            <w14:solidFill>
              <w14:schemeClr w14:val="tx1"/>
            </w14:solidFill>
          </w14:textFill>
        </w:rPr>
        <w:t>vent A4 threshold</w:t>
      </w:r>
      <w:r>
        <w:rPr>
          <w:rFonts w:hint="default"/>
          <w:color w:val="000000" w:themeColor="text1"/>
          <w:lang w:val="en-US"/>
          <w14:textFill>
            <w14:solidFill>
              <w14:schemeClr w14:val="tx1"/>
            </w14:solidFill>
          </w14:textFill>
        </w:rPr>
        <w:t xml:space="preserve"> could be implement via the combinations of event. Then for </w:t>
      </w:r>
      <w:r>
        <w:rPr>
          <w:color w:val="000000" w:themeColor="text1"/>
          <w14:textFill>
            <w14:solidFill>
              <w14:schemeClr w14:val="tx1"/>
            </w14:solidFill>
          </w14:textFill>
        </w:rPr>
        <w:t>numberoftriggeringcells</w:t>
      </w:r>
      <w:r>
        <w:rPr>
          <w:rFonts w:hint="default"/>
          <w:color w:val="000000" w:themeColor="text1"/>
          <w:lang w:val="en-US"/>
          <w14:textFill>
            <w14:solidFill>
              <w14:schemeClr w14:val="tx1"/>
            </w14:solidFill>
          </w14:textFill>
        </w:rPr>
        <w:t xml:space="preserve">, we could consider to configure different </w:t>
      </w:r>
      <w:r>
        <w:rPr>
          <w:color w:val="000000" w:themeColor="text1"/>
          <w14:textFill>
            <w14:solidFill>
              <w14:schemeClr w14:val="tx1"/>
            </w14:solidFill>
          </w14:textFill>
        </w:rPr>
        <w:t>numberoftriggeringcells</w:t>
      </w:r>
      <w:r>
        <w:rPr>
          <w:rFonts w:hint="default"/>
          <w:color w:val="000000" w:themeColor="text1"/>
          <w:lang w:val="en-US"/>
          <w14:textFill>
            <w14:solidFill>
              <w14:schemeClr w14:val="tx1"/>
            </w14:solidFill>
          </w14:textFill>
        </w:rPr>
        <w:t xml:space="preserve"> value correspond to different height ranges, which is beneficial for measurements reporting overhead reduction. Specifically, configure height range 1 for </w:t>
      </w:r>
      <w:r>
        <w:rPr>
          <w:color w:val="000000" w:themeColor="text1"/>
          <w14:textFill>
            <w14:solidFill>
              <w14:schemeClr w14:val="tx1"/>
            </w14:solidFill>
          </w14:textFill>
        </w:rPr>
        <w:t>NumberOfTriggeringCells</w:t>
      </w:r>
      <w:r>
        <w:rPr>
          <w:rFonts w:hint="default"/>
          <w:color w:val="000000" w:themeColor="text1"/>
          <w:lang w:val="en-US"/>
          <w14:textFill>
            <w14:solidFill>
              <w14:schemeClr w14:val="tx1"/>
            </w14:solidFill>
          </w14:textFill>
        </w:rPr>
        <w:t xml:space="preserve"> value 1, height range 2 for </w:t>
      </w:r>
      <w:r>
        <w:rPr>
          <w:color w:val="000000" w:themeColor="text1"/>
          <w14:textFill>
            <w14:solidFill>
              <w14:schemeClr w14:val="tx1"/>
            </w14:solidFill>
          </w14:textFill>
        </w:rPr>
        <w:t>NumberOfTriggeringCells</w:t>
      </w:r>
      <w:r>
        <w:rPr>
          <w:rFonts w:hint="default"/>
          <w:color w:val="000000" w:themeColor="text1"/>
          <w:lang w:val="en-US"/>
          <w14:textFill>
            <w14:solidFill>
              <w14:schemeClr w14:val="tx1"/>
            </w14:solidFill>
          </w14:textFill>
        </w:rPr>
        <w:t xml:space="preserve"> value 2, and so on, and a step for height range could also be discussed.</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color w:val="000000" w:themeColor="text1"/>
          <w:lang w:val="en-US"/>
          <w14:textFill>
            <w14:solidFill>
              <w14:schemeClr w14:val="tx1"/>
            </w14:solidFill>
          </w14:textFill>
        </w:rPr>
      </w:pPr>
      <w:r>
        <w:rPr>
          <w:rFonts w:hint="eastAsia"/>
          <w:b/>
          <w:color w:val="000000" w:themeColor="text1"/>
          <w:lang w:val="en-US" w:eastAsia="zh-CN"/>
          <w14:textFill>
            <w14:solidFill>
              <w14:schemeClr w14:val="tx1"/>
            </w14:solidFill>
          </w14:textFill>
        </w:rPr>
        <w:t>Proposal</w:t>
      </w:r>
      <w:r>
        <w:rPr>
          <w:rFonts w:hint="default"/>
          <w:b/>
          <w:color w:val="000000" w:themeColor="text1"/>
          <w:lang w:val="en-US" w:eastAsia="zh-CN"/>
          <w14:textFill>
            <w14:solidFill>
              <w14:schemeClr w14:val="tx1"/>
            </w14:solidFill>
          </w14:textFill>
        </w:rPr>
        <w:t xml:space="preserve"> 3</w:t>
      </w:r>
      <w:r>
        <w:rPr>
          <w:rFonts w:hint="eastAsia"/>
          <w:b/>
          <w:color w:val="000000" w:themeColor="text1"/>
          <w:lang w:val="en-US" w:eastAsia="zh-CN"/>
          <w14:textFill>
            <w14:solidFill>
              <w14:schemeClr w14:val="tx1"/>
            </w14:solidFill>
          </w14:textFill>
        </w:rPr>
        <w:t>:</w:t>
      </w:r>
      <w:r>
        <w:rPr>
          <w:rFonts w:hint="default"/>
          <w:b/>
          <w:color w:val="000000" w:themeColor="text1"/>
          <w:lang w:val="en-US" w:eastAsia="zh-CN"/>
          <w14:textFill>
            <w14:solidFill>
              <w14:schemeClr w14:val="tx1"/>
            </w14:solidFill>
          </w14:textFill>
        </w:rPr>
        <w:t xml:space="preserve"> It is proposed that event A4 threshold could be implement via the combinations of event.</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color w:val="000000" w:themeColor="text1"/>
          <w:lang w:val="en-US" w:eastAsia="zh-CN"/>
          <w14:textFill>
            <w14:solidFill>
              <w14:schemeClr w14:val="tx1"/>
            </w14:solidFill>
          </w14:textFill>
        </w:rPr>
      </w:pPr>
      <w:r>
        <w:rPr>
          <w:rFonts w:hint="eastAsia"/>
          <w:b/>
          <w:color w:val="000000" w:themeColor="text1"/>
          <w:lang w:val="en-US" w:eastAsia="zh-CN"/>
          <w14:textFill>
            <w14:solidFill>
              <w14:schemeClr w14:val="tx1"/>
            </w14:solidFill>
          </w14:textFill>
        </w:rPr>
        <w:t>Proposal</w:t>
      </w:r>
      <w:r>
        <w:rPr>
          <w:rFonts w:hint="default"/>
          <w:b/>
          <w:color w:val="000000" w:themeColor="text1"/>
          <w:lang w:val="en-US" w:eastAsia="zh-CN"/>
          <w14:textFill>
            <w14:solidFill>
              <w14:schemeClr w14:val="tx1"/>
            </w14:solidFill>
          </w14:textFill>
        </w:rPr>
        <w:t xml:space="preserve"> 4</w:t>
      </w:r>
      <w:r>
        <w:rPr>
          <w:rFonts w:hint="eastAsia"/>
          <w:b/>
          <w:color w:val="000000" w:themeColor="text1"/>
          <w:lang w:val="en-US" w:eastAsia="zh-CN"/>
          <w14:textFill>
            <w14:solidFill>
              <w14:schemeClr w14:val="tx1"/>
            </w14:solidFill>
          </w14:textFill>
        </w:rPr>
        <w:t>:</w:t>
      </w:r>
      <w:r>
        <w:rPr>
          <w:rFonts w:hint="default"/>
          <w:b/>
          <w:color w:val="000000" w:themeColor="text1"/>
          <w:lang w:val="en-US" w:eastAsia="zh-CN"/>
          <w14:textFill>
            <w14:solidFill>
              <w14:schemeClr w14:val="tx1"/>
            </w14:solidFill>
          </w14:textFill>
        </w:rPr>
        <w:t xml:space="preserve"> It is proposed to configure different numberoftriggeringcells value correspond to different height ranges, for example, height range 1 for NumberOfTriggeringCells value 1, height range 2 for NumberOfTriggeringCells value 2, and so on, and a step for height range could also be discussed.</w:t>
      </w:r>
    </w:p>
    <w:p>
      <w:pPr>
        <w:pStyle w:val="4"/>
        <w:ind w:left="578" w:hanging="578"/>
        <w:rPr>
          <w:rFonts w:hint="default"/>
          <w:b/>
          <w:bCs/>
          <w:color w:val="000000" w:themeColor="text1"/>
          <w:lang w:val="en-US"/>
          <w14:textFill>
            <w14:solidFill>
              <w14:schemeClr w14:val="tx1"/>
            </w14:solidFill>
          </w14:textFill>
        </w:rPr>
      </w:pPr>
      <w:r>
        <w:rPr>
          <w:b/>
          <w:bCs/>
          <w:color w:val="000000" w:themeColor="text1"/>
          <w14:textFill>
            <w14:solidFill>
              <w14:schemeClr w14:val="tx1"/>
            </w14:solidFill>
          </w14:textFill>
        </w:rPr>
        <w:t xml:space="preserve"> </w:t>
      </w:r>
      <w:r>
        <w:rPr>
          <w:rFonts w:hint="eastAsia"/>
          <w:b/>
          <w:bCs/>
          <w:color w:val="000000" w:themeColor="text1"/>
          <w14:textFill>
            <w14:solidFill>
              <w14:schemeClr w14:val="tx1"/>
            </w14:solidFill>
          </w14:textFill>
        </w:rPr>
        <w:t>When</w:t>
      </w:r>
      <w:r>
        <w:rPr>
          <w:rFonts w:hint="default"/>
          <w:b/>
          <w:bCs/>
          <w:color w:val="000000" w:themeColor="text1"/>
          <w:lang w:val="en-US"/>
          <w14:textFill>
            <w14:solidFill>
              <w14:schemeClr w14:val="tx1"/>
            </w14:solidFill>
          </w14:textFill>
        </w:rPr>
        <w:t xml:space="preserve"> </w:t>
      </w:r>
      <w:r>
        <w:rPr>
          <w:rFonts w:hint="eastAsia"/>
          <w:b/>
          <w:bCs/>
          <w:color w:val="000000" w:themeColor="text1"/>
          <w14:textFill>
            <w14:solidFill>
              <w14:schemeClr w14:val="tx1"/>
            </w14:solidFill>
          </w14:textFill>
        </w:rPr>
        <w:t>H1</w:t>
      </w:r>
      <w:r>
        <w:rPr>
          <w:rFonts w:hint="default"/>
          <w:b/>
          <w:bCs/>
          <w:color w:val="000000" w:themeColor="text1"/>
          <w:lang w:val="en-US"/>
          <w14:textFill>
            <w14:solidFill>
              <w14:schemeClr w14:val="tx1"/>
            </w14:solidFill>
          </w14:textFill>
        </w:rPr>
        <w:t>/</w:t>
      </w:r>
      <w:r>
        <w:rPr>
          <w:rFonts w:hint="eastAsia"/>
          <w:b/>
          <w:bCs/>
          <w:color w:val="000000" w:themeColor="text1"/>
          <w14:textFill>
            <w14:solidFill>
              <w14:schemeClr w14:val="tx1"/>
            </w14:solidFill>
          </w14:textFill>
        </w:rPr>
        <w:t>H2 triggers</w:t>
      </w:r>
      <w:r>
        <w:rPr>
          <w:rFonts w:hint="default"/>
          <w:b/>
          <w:bCs/>
          <w:color w:val="000000" w:themeColor="text1"/>
          <w:lang w:val="en-US"/>
          <w14:textFill>
            <w14:solidFill>
              <w14:schemeClr w14:val="tx1"/>
            </w14:solidFill>
          </w14:textFill>
        </w:rPr>
        <w:t>, whether UAV UE’s height is mandatory</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eastAsia="Arial Unicode MS"/>
          <w:color w:val="000000" w:themeColor="text1"/>
          <w:lang w:val="en-US" w:eastAsia="zh-CN"/>
          <w14:textFill>
            <w14:solidFill>
              <w14:schemeClr w14:val="tx1"/>
            </w14:solidFill>
          </w14:textFill>
        </w:rPr>
      </w:pPr>
      <w:r>
        <w:rPr>
          <w:rFonts w:hint="default"/>
          <w:b w:val="0"/>
          <w:bCs w:val="0"/>
          <w:color w:val="000000" w:themeColor="text1"/>
          <w:lang w:val="en-US" w:eastAsia="zh-CN"/>
          <w14:textFill>
            <w14:solidFill>
              <w14:schemeClr w14:val="tx1"/>
            </w14:solidFill>
          </w14:textFill>
        </w:rPr>
        <w:t xml:space="preserve">Per the email discussion [2], most companies prefer that when H1/H2 triggers, the content of the report fully configurable by the network and not to make the restriction about whether including height information, while few companies </w:t>
      </w:r>
      <w:r>
        <w:rPr>
          <w:color w:val="000000" w:themeColor="text1"/>
          <w14:textFill>
            <w14:solidFill>
              <w14:schemeClr w14:val="tx1"/>
            </w14:solidFill>
          </w14:textFill>
        </w:rPr>
        <w:t>stated the height-related information shall be always included</w:t>
      </w:r>
      <w:r>
        <w:rPr>
          <w:rFonts w:hint="default"/>
          <w:color w:val="000000" w:themeColor="text1"/>
          <w:lang w:val="en-US"/>
          <w14:textFill>
            <w14:solidFill>
              <w14:schemeClr w14:val="tx1"/>
            </w14:solidFill>
          </w14:textFill>
        </w:rPr>
        <w:t xml:space="preserve">. From our perspective, to keep flexible, when H1/H2 triggers, the specific report content up to network configuration is sufficient, i.e.all the </w:t>
      </w:r>
      <w:r>
        <w:rPr>
          <w:color w:val="000000" w:themeColor="text1"/>
          <w14:textFill>
            <w14:solidFill>
              <w14:schemeClr w14:val="tx1"/>
            </w14:solidFill>
          </w14:textFill>
        </w:rPr>
        <w:t>location information</w:t>
      </w:r>
      <w:r>
        <w:rPr>
          <w:rFonts w:hint="default"/>
          <w:color w:val="000000" w:themeColor="text1"/>
          <w:lang w:val="en-US"/>
          <w14:textFill>
            <w14:solidFill>
              <w14:schemeClr w14:val="tx1"/>
            </w14:solidFill>
          </w14:textFill>
        </w:rPr>
        <w:t xml:space="preserve">, </w:t>
      </w:r>
      <w:r>
        <w:rPr>
          <w:color w:val="000000" w:themeColor="text1"/>
          <w14:textFill>
            <w14:solidFill>
              <w14:schemeClr w14:val="tx1"/>
            </w14:solidFill>
          </w14:textFill>
        </w:rPr>
        <w:t>RSRP/RSRQ measurement results</w:t>
      </w:r>
      <w:r>
        <w:rPr>
          <w:rFonts w:hint="default"/>
          <w:color w:val="000000" w:themeColor="text1"/>
          <w:lang w:val="en-US"/>
          <w14:textFill>
            <w14:solidFill>
              <w14:schemeClr w14:val="tx1"/>
            </w14:solidFill>
          </w14:textFill>
        </w:rPr>
        <w:t xml:space="preserve"> and </w:t>
      </w:r>
      <w:r>
        <w:rPr>
          <w:rFonts w:hint="default"/>
          <w:b w:val="0"/>
          <w:bCs w:val="0"/>
          <w:color w:val="000000" w:themeColor="text1"/>
          <w:lang w:val="en-US" w:eastAsia="zh-CN"/>
          <w14:textFill>
            <w14:solidFill>
              <w14:schemeClr w14:val="tx1"/>
            </w14:solidFill>
          </w14:textFill>
        </w:rPr>
        <w:t xml:space="preserve">height information are not mandatory. Then network could configure the UE to report information interested or necessary in network side. Further, </w:t>
      </w:r>
      <w:r>
        <w:rPr>
          <w:i/>
          <w:iCs/>
          <w:color w:val="000000" w:themeColor="text1"/>
          <w:lang w:eastAsia="zh-CN"/>
          <w14:textFill>
            <w14:solidFill>
              <w14:schemeClr w14:val="tx1"/>
            </w14:solidFill>
          </w14:textFill>
        </w:rPr>
        <w:t>heightUE</w:t>
      </w:r>
      <w:r>
        <w:rPr>
          <w:rFonts w:hint="default"/>
          <w:i/>
          <w:iCs/>
          <w:color w:val="000000" w:themeColor="text1"/>
          <w:lang w:val="en-US" w:eastAsia="zh-CN"/>
          <w14:textFill>
            <w14:solidFill>
              <w14:schemeClr w14:val="tx1"/>
            </w14:solidFill>
          </w14:textFill>
        </w:rPr>
        <w:t xml:space="preserve"> </w:t>
      </w:r>
      <w:r>
        <w:rPr>
          <w:rFonts w:hint="default"/>
          <w:i w:val="0"/>
          <w:iCs w:val="0"/>
          <w:color w:val="000000" w:themeColor="text1"/>
          <w:lang w:val="en-US" w:eastAsia="zh-CN"/>
          <w14:textFill>
            <w14:solidFill>
              <w14:schemeClr w14:val="tx1"/>
            </w14:solidFill>
          </w14:textFill>
        </w:rPr>
        <w:t>could be reused to carry the UAV UE’s height as in LTE.</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b/>
          <w:color w:val="000000" w:themeColor="text1"/>
          <w:lang w:val="en-US" w:eastAsia="zh-CN"/>
          <w14:textFill>
            <w14:solidFill>
              <w14:schemeClr w14:val="tx1"/>
            </w14:solidFill>
          </w14:textFill>
        </w:rPr>
      </w:pPr>
      <w:r>
        <w:rPr>
          <w:rFonts w:hint="eastAsia"/>
          <w:b/>
          <w:color w:val="000000" w:themeColor="text1"/>
          <w:lang w:val="en-US" w:eastAsia="zh-CN"/>
          <w14:textFill>
            <w14:solidFill>
              <w14:schemeClr w14:val="tx1"/>
            </w14:solidFill>
          </w14:textFill>
        </w:rPr>
        <w:t xml:space="preserve">Proposal </w:t>
      </w:r>
      <w:r>
        <w:rPr>
          <w:rFonts w:hint="default"/>
          <w:b/>
          <w:color w:val="000000" w:themeColor="text1"/>
          <w:lang w:val="en-US" w:eastAsia="zh-CN"/>
          <w14:textFill>
            <w14:solidFill>
              <w14:schemeClr w14:val="tx1"/>
            </w14:solidFill>
          </w14:textFill>
        </w:rPr>
        <w:t xml:space="preserve">5: When event H1/H2 triggers, UAV UE’s height is not mandatory. And </w:t>
      </w:r>
      <w:r>
        <w:rPr>
          <w:rFonts w:hint="default"/>
          <w:b/>
          <w:i/>
          <w:iCs/>
          <w:color w:val="000000" w:themeColor="text1"/>
          <w:lang w:val="en-US" w:eastAsia="zh-CN"/>
          <w14:textFill>
            <w14:solidFill>
              <w14:schemeClr w14:val="tx1"/>
            </w14:solidFill>
          </w14:textFill>
        </w:rPr>
        <w:t xml:space="preserve">heightUE </w:t>
      </w:r>
      <w:r>
        <w:rPr>
          <w:rFonts w:hint="default"/>
          <w:b/>
          <w:color w:val="000000" w:themeColor="text1"/>
          <w:lang w:val="en-US" w:eastAsia="zh-CN"/>
          <w14:textFill>
            <w14:solidFill>
              <w14:schemeClr w14:val="tx1"/>
            </w14:solidFill>
          </w14:textFill>
        </w:rPr>
        <w:t>could be reused to carry the UAV UE’s height as in LTE.</w:t>
      </w:r>
    </w:p>
    <w:p>
      <w:pPr>
        <w:pStyle w:val="4"/>
        <w:ind w:left="578" w:hanging="578"/>
        <w:rPr>
          <w:b/>
          <w:bCs/>
          <w:color w:val="000000" w:themeColor="text1"/>
          <w14:textFill>
            <w14:solidFill>
              <w14:schemeClr w14:val="tx1"/>
            </w14:solidFill>
          </w14:textFill>
        </w:rPr>
      </w:pPr>
      <w:r>
        <w:rPr>
          <w:b/>
          <w:bCs/>
          <w:color w:val="000000" w:themeColor="text1"/>
          <w14:textFill>
            <w14:solidFill>
              <w14:schemeClr w14:val="tx1"/>
            </w14:solidFill>
          </w14:textFill>
        </w:rPr>
        <w:t xml:space="preserve"> </w:t>
      </w:r>
      <w:r>
        <w:rPr>
          <w:b/>
          <w:bCs/>
          <w:color w:val="000000" w:themeColor="text1"/>
          <w:lang w:eastAsia="zh-CN"/>
          <w14:textFill>
            <w14:solidFill>
              <w14:schemeClr w14:val="tx1"/>
            </w14:solidFill>
          </w14:textFill>
        </w:rPr>
        <w:t xml:space="preserve">Whether </w:t>
      </w:r>
      <w:r>
        <w:rPr>
          <w:rFonts w:hint="eastAsia"/>
          <w:b/>
          <w:bCs/>
          <w:color w:val="000000" w:themeColor="text1"/>
          <w:lang w:eastAsia="zh-CN"/>
          <w14:textFill>
            <w14:solidFill>
              <w14:schemeClr w14:val="tx1"/>
            </w14:solidFill>
          </w14:textFill>
        </w:rPr>
        <w:t xml:space="preserve">user consent is needed for location reporting in </w:t>
      </w:r>
      <w:r>
        <w:rPr>
          <w:rFonts w:hint="default"/>
          <w:b/>
          <w:bCs/>
          <w:color w:val="000000" w:themeColor="text1"/>
          <w:lang w:val="en-US" w:eastAsia="zh-CN"/>
          <w14:textFill>
            <w14:solidFill>
              <w14:schemeClr w14:val="tx1"/>
            </w14:solidFill>
          </w14:textFill>
        </w:rPr>
        <w:t>connected</w:t>
      </w:r>
    </w:p>
    <w:p>
      <w:pPr>
        <w:rPr>
          <w:bCs/>
          <w:color w:val="000000" w:themeColor="text1"/>
          <w:lang w:val="en-US" w:eastAsia="zh-CN"/>
          <w14:textFill>
            <w14:solidFill>
              <w14:schemeClr w14:val="tx1"/>
            </w14:solidFill>
          </w14:textFill>
        </w:rPr>
      </w:pPr>
      <w:r>
        <w:rPr>
          <w:rFonts w:hint="default"/>
          <w:bCs/>
          <w:color w:val="000000" w:themeColor="text1"/>
          <w:lang w:val="en-US" w:eastAsia="zh-CN"/>
          <w14:textFill>
            <w14:solidFill>
              <w14:schemeClr w14:val="tx1"/>
            </w14:solidFill>
          </w14:textFill>
        </w:rPr>
        <w:t xml:space="preserve">There are still a remaining issue about user consent for location reporting in connected. </w:t>
      </w:r>
      <w:r>
        <w:rPr>
          <w:bCs/>
          <w:color w:val="000000" w:themeColor="text1"/>
          <w:lang w:val="en-US" w:eastAsia="zh-CN"/>
          <w14:textFill>
            <w14:solidFill>
              <w14:schemeClr w14:val="tx1"/>
            </w14:solidFill>
          </w14:textFill>
        </w:rPr>
        <w:t>As discussion in R17 NTN WI, user consent is also needed for location reporting in CONNECTED for UAV. We need to discuss this at the starting point and involve SA3 as early as possible to avoid not being able to resolve the issue well in the end.</w:t>
      </w:r>
    </w:p>
    <w:p>
      <w:pPr>
        <w:rPr>
          <w:b/>
          <w:color w:val="000000" w:themeColor="text1"/>
          <w:lang w:val="en-US" w:eastAsia="zh-CN"/>
          <w14:textFill>
            <w14:solidFill>
              <w14:schemeClr w14:val="tx1"/>
            </w14:solidFill>
          </w14:textFill>
        </w:rPr>
      </w:pPr>
      <w:r>
        <w:rPr>
          <w:rFonts w:hint="eastAsia"/>
          <w:b/>
          <w:color w:val="000000" w:themeColor="text1"/>
          <w:lang w:val="en-US" w:eastAsia="zh-CN"/>
          <w14:textFill>
            <w14:solidFill>
              <w14:schemeClr w14:val="tx1"/>
            </w14:solidFill>
          </w14:textFill>
        </w:rPr>
        <w:t xml:space="preserve">Proposal </w:t>
      </w:r>
      <w:r>
        <w:rPr>
          <w:rFonts w:hint="default"/>
          <w:b/>
          <w:color w:val="000000" w:themeColor="text1"/>
          <w:lang w:val="en-US" w:eastAsia="zh-CN"/>
          <w14:textFill>
            <w14:solidFill>
              <w14:schemeClr w14:val="tx1"/>
            </w14:solidFill>
          </w14:textFill>
        </w:rPr>
        <w:t>6</w:t>
      </w:r>
      <w:r>
        <w:rPr>
          <w:rFonts w:hint="eastAsia"/>
          <w:b/>
          <w:color w:val="000000" w:themeColor="text1"/>
          <w:lang w:val="en-US" w:eastAsia="zh-CN"/>
          <w14:textFill>
            <w14:solidFill>
              <w14:schemeClr w14:val="tx1"/>
            </w14:solidFill>
          </w14:textFill>
        </w:rPr>
        <w:t>:</w:t>
      </w:r>
      <w:r>
        <w:rPr>
          <w:b/>
          <w:color w:val="000000" w:themeColor="text1"/>
          <w:lang w:val="en-US" w:eastAsia="zh-CN"/>
          <w14:textFill>
            <w14:solidFill>
              <w14:schemeClr w14:val="tx1"/>
            </w14:solidFill>
          </w14:textFill>
        </w:rPr>
        <w:t xml:space="preserve"> It is proposed to discuss the user consent for location reporting in connected mode at the starting point for UAV and involve SA3 as early as possible to avoid not being able to resolve the issue well in the end.</w:t>
      </w:r>
    </w:p>
    <w:p>
      <w:pPr>
        <w:pStyle w:val="4"/>
        <w:rPr>
          <w:b/>
          <w:bCs/>
          <w:color w:val="000000" w:themeColor="text1"/>
          <w:lang w:eastAsia="zh-CN"/>
          <w14:textFill>
            <w14:solidFill>
              <w14:schemeClr w14:val="tx1"/>
            </w14:solidFill>
          </w14:textFill>
        </w:rPr>
      </w:pPr>
      <w:r>
        <w:rPr>
          <w:b/>
          <w:bCs/>
          <w:color w:val="000000" w:themeColor="text1"/>
          <w:lang w:eastAsia="zh-CN"/>
          <w14:textFill>
            <w14:solidFill>
              <w14:schemeClr w14:val="tx1"/>
            </w14:solidFill>
          </w14:textFill>
        </w:rPr>
        <w:t xml:space="preserve"> </w:t>
      </w:r>
      <w:r>
        <w:rPr>
          <w:b/>
          <w:bCs/>
          <w:color w:val="000000" w:themeColor="text1"/>
          <w14:textFill>
            <w14:solidFill>
              <w14:schemeClr w14:val="tx1"/>
            </w14:solidFill>
          </w14:textFill>
        </w:rPr>
        <w:t>Vertical movement and associated mobility for UAV UEs</w:t>
      </w:r>
    </w:p>
    <w:p>
      <w:pPr>
        <w:rPr>
          <w:rFonts w:hint="default"/>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I</w:t>
      </w:r>
      <w:r>
        <w:rPr>
          <w:rFonts w:hint="eastAsia"/>
          <w:color w:val="000000" w:themeColor="text1"/>
          <w:lang w:val="en-US" w:eastAsia="zh-CN"/>
          <w14:textFill>
            <w14:solidFill>
              <w14:schemeClr w14:val="tx1"/>
            </w14:solidFill>
          </w14:textFill>
        </w:rPr>
        <w:t xml:space="preserve">n </w:t>
      </w:r>
      <w:r>
        <w:rPr>
          <w:color w:val="000000" w:themeColor="text1"/>
          <w:lang w:val="en-US" w:eastAsia="zh-CN"/>
          <w14:textFill>
            <w14:solidFill>
              <w14:schemeClr w14:val="tx1"/>
            </w14:solidFill>
          </w14:textFill>
        </w:rPr>
        <w:t>addition</w:t>
      </w:r>
      <w:r>
        <w:rPr>
          <w:rFonts w:hint="eastAsia"/>
          <w:color w:val="000000" w:themeColor="text1"/>
          <w:lang w:val="en-US" w:eastAsia="zh-CN"/>
          <w14:textFill>
            <w14:solidFill>
              <w14:schemeClr w14:val="tx1"/>
            </w14:solidFill>
          </w14:textFill>
        </w:rPr>
        <w:t xml:space="preserve"> to </w:t>
      </w:r>
      <w:r>
        <w:rPr>
          <w:color w:val="000000" w:themeColor="text1"/>
          <w:lang w:val="en-US" w:eastAsia="zh-CN"/>
          <w14:textFill>
            <w14:solidFill>
              <w14:schemeClr w14:val="tx1"/>
            </w14:solidFill>
          </w14:textFill>
        </w:rPr>
        <w:t>the above</w:t>
      </w:r>
      <w:r>
        <w:rPr>
          <w:rFonts w:hint="eastAsia"/>
          <w:color w:val="000000" w:themeColor="text1"/>
          <w:lang w:val="en-US" w:eastAsia="zh-CN"/>
          <w14:textFill>
            <w14:solidFill>
              <w14:schemeClr w14:val="tx1"/>
            </w14:solidFill>
          </w14:textFill>
        </w:rPr>
        <w:t>, UAV</w:t>
      </w:r>
      <w:r>
        <w:rPr>
          <w:color w:val="000000" w:themeColor="text1"/>
          <w:lang w:val="en-US" w:eastAsia="zh-CN"/>
          <w14:textFill>
            <w14:solidFill>
              <w14:schemeClr w14:val="tx1"/>
            </w14:solidFill>
          </w14:textFill>
        </w:rPr>
        <w:t xml:space="preserve"> UEs</w:t>
      </w:r>
      <w:r>
        <w:rPr>
          <w:rFonts w:hint="eastAsia"/>
          <w:color w:val="000000" w:themeColor="text1"/>
          <w:lang w:val="en-US" w:eastAsia="zh-CN"/>
          <w14:textFill>
            <w14:solidFill>
              <w14:schemeClr w14:val="tx1"/>
            </w14:solidFill>
          </w14:textFill>
        </w:rPr>
        <w:t xml:space="preserve"> always experience frequent handover especially during take-off or landing as shown in the figure </w:t>
      </w:r>
      <w:r>
        <w:rPr>
          <w:rFonts w:hint="default"/>
          <w:color w:val="000000" w:themeColor="text1"/>
          <w:lang w:val="en-US" w:eastAsia="zh-CN"/>
          <w14:textFill>
            <w14:solidFill>
              <w14:schemeClr w14:val="tx1"/>
            </w14:solidFill>
          </w14:textFill>
        </w:rPr>
        <w:t>1</w:t>
      </w:r>
      <w:r>
        <w:rPr>
          <w:rFonts w:hint="eastAsia"/>
          <w:color w:val="000000" w:themeColor="text1"/>
          <w:lang w:val="en-US" w:eastAsia="zh-CN"/>
          <w14:textFill>
            <w14:solidFill>
              <w14:schemeClr w14:val="tx1"/>
            </w14:solidFill>
          </w14:textFill>
        </w:rPr>
        <w:t>.</w:t>
      </w:r>
      <w:r>
        <w:rPr>
          <w:rFonts w:hint="default"/>
          <w:color w:val="000000" w:themeColor="text1"/>
          <w:lang w:val="en-US" w:eastAsia="zh-CN"/>
          <w14:textFill>
            <w14:solidFill>
              <w14:schemeClr w14:val="tx1"/>
            </w14:solidFill>
          </w14:textFill>
        </w:rPr>
        <w:t xml:space="preserve"> And there were some discussion about the vertical movement related enhancements in previous meeting and agreed that joint use of height-dependent condition and RSRP/RSRQ/SINR-based condition for measurement report triggering is supported in NR Rel-18 UAV. Additionally, to avoid data transmission interruption due to the frequent handover, we could also consider further enhancements, for example, L1/L2 handover or virtual flying cell for UAV based on assistance information from UE, e.g. UE’s height, trajectory and other measurement related information. </w:t>
      </w:r>
    </w:p>
    <w:p>
      <w:pPr>
        <w:jc w:val="cente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object>
          <v:shape id="_x0000_i1025" o:spt="75" type="#_x0000_t75" style="height:235.75pt;width:396.7pt;" o:ole="t" filled="f" o:preferrelative="t" stroked="f" coordsize="21600,21600">
            <v:path/>
            <v:fill on="f" focussize="0,0"/>
            <v:stroke on="f" joinstyle="miter"/>
            <v:imagedata r:id="rId6" o:title=""/>
            <o:lock v:ext="edit" aspectratio="f"/>
            <w10:wrap type="none"/>
            <w10:anchorlock/>
          </v:shape>
          <o:OLEObject Type="Embed" ProgID="Visio.Drawing.11" ShapeID="_x0000_i1025" DrawAspect="Content" ObjectID="_1468075725" r:id="rId5">
            <o:LockedField>false</o:LockedField>
          </o:OLEObject>
        </w:object>
      </w:r>
    </w:p>
    <w:p>
      <w:pPr>
        <w:jc w:val="center"/>
        <w:rPr>
          <w:color w:val="000000" w:themeColor="text1"/>
          <w:sz w:val="18"/>
          <w:szCs w:val="18"/>
          <w:lang w:val="en-US" w:eastAsia="zh-CN"/>
          <w14:textFill>
            <w14:solidFill>
              <w14:schemeClr w14:val="tx1"/>
            </w14:solidFill>
          </w14:textFill>
        </w:rPr>
      </w:pPr>
      <w:r>
        <w:rPr>
          <w:color w:val="000000" w:themeColor="text1"/>
          <w:sz w:val="18"/>
          <w:szCs w:val="18"/>
          <w:lang w:val="en-US" w:eastAsia="zh-CN"/>
          <w14:textFill>
            <w14:solidFill>
              <w14:schemeClr w14:val="tx1"/>
            </w14:solidFill>
          </w14:textFill>
        </w:rPr>
        <w:t xml:space="preserve">Figure </w:t>
      </w:r>
      <w:r>
        <w:rPr>
          <w:rFonts w:hint="default"/>
          <w:color w:val="000000" w:themeColor="text1"/>
          <w:sz w:val="18"/>
          <w:szCs w:val="18"/>
          <w:lang w:val="en-US" w:eastAsia="zh-CN"/>
          <w14:textFill>
            <w14:solidFill>
              <w14:schemeClr w14:val="tx1"/>
            </w14:solidFill>
          </w14:textFill>
        </w:rPr>
        <w:t>1</w:t>
      </w:r>
      <w:r>
        <w:rPr>
          <w:color w:val="000000" w:themeColor="text1"/>
          <w:sz w:val="18"/>
          <w:szCs w:val="18"/>
          <w:lang w:val="en-US" w:eastAsia="zh-CN"/>
          <w14:textFill>
            <w14:solidFill>
              <w14:schemeClr w14:val="tx1"/>
            </w14:solidFill>
          </w14:textFill>
        </w:rPr>
        <w:t xml:space="preserve">: Vertical movement of UAV UEs </w:t>
      </w:r>
    </w:p>
    <w:p>
      <w:pPr>
        <w:rPr>
          <w:rFonts w:hint="default"/>
          <w:b/>
          <w:color w:val="000000" w:themeColor="text1"/>
          <w:lang w:val="en-US" w:eastAsia="zh-CN"/>
          <w14:textFill>
            <w14:solidFill>
              <w14:schemeClr w14:val="tx1"/>
            </w14:solidFill>
          </w14:textFill>
        </w:rPr>
      </w:pPr>
      <w:r>
        <w:rPr>
          <w:rFonts w:hint="eastAsia"/>
          <w:b/>
          <w:color w:val="000000" w:themeColor="text1"/>
          <w:lang w:val="en-US" w:eastAsia="zh-CN"/>
          <w14:textFill>
            <w14:solidFill>
              <w14:schemeClr w14:val="tx1"/>
            </w14:solidFill>
          </w14:textFill>
        </w:rPr>
        <w:t xml:space="preserve">Proposal </w:t>
      </w:r>
      <w:r>
        <w:rPr>
          <w:rFonts w:hint="default"/>
          <w:b/>
          <w:color w:val="000000" w:themeColor="text1"/>
          <w:lang w:val="en-US" w:eastAsia="zh-CN"/>
          <w14:textFill>
            <w14:solidFill>
              <w14:schemeClr w14:val="tx1"/>
            </w14:solidFill>
          </w14:textFill>
        </w:rPr>
        <w:t>7</w:t>
      </w:r>
      <w:r>
        <w:rPr>
          <w:rFonts w:hint="eastAsia"/>
          <w:b/>
          <w:color w:val="000000" w:themeColor="text1"/>
          <w:lang w:val="en-US" w:eastAsia="zh-CN"/>
          <w14:textFill>
            <w14:solidFill>
              <w14:schemeClr w14:val="tx1"/>
            </w14:solidFill>
          </w14:textFill>
        </w:rPr>
        <w:t xml:space="preserve">: </w:t>
      </w:r>
      <w:r>
        <w:rPr>
          <w:rFonts w:hint="default"/>
          <w:b/>
          <w:color w:val="000000" w:themeColor="text1"/>
          <w:lang w:val="en-US" w:eastAsia="zh-CN"/>
          <w14:textFill>
            <w14:solidFill>
              <w14:schemeClr w14:val="tx1"/>
            </w14:solidFill>
          </w14:textFill>
        </w:rPr>
        <w:t>It is proposed that we could also consider further enhancements for vertical movement, for example, L1/L2 handover or virtual flying cell for UAV based on assistance information from UE, e.g. UE’s height, trajectory and other measurement related information to alleviate or avoid data transmission interruption due to the frequent handover.</w:t>
      </w:r>
    </w:p>
    <w:p>
      <w:pPr>
        <w:pStyle w:val="2"/>
        <w:numPr>
          <w:ilvl w:val="0"/>
          <w:numId w:val="0"/>
        </w:numPr>
        <w:rPr>
          <w:color w:val="000000" w:themeColor="text1"/>
          <w:lang w:eastAsia="zh-CN"/>
          <w14:textFill>
            <w14:solidFill>
              <w14:schemeClr w14:val="tx1"/>
            </w14:solidFill>
          </w14:textFill>
        </w:rPr>
      </w:pPr>
      <w:r>
        <w:rPr>
          <w:rFonts w:hint="default"/>
          <w:color w:val="000000" w:themeColor="text1"/>
          <w:lang w:val="en-US"/>
          <w14:textFill>
            <w14:solidFill>
              <w14:schemeClr w14:val="tx1"/>
            </w14:solidFill>
          </w14:textFill>
        </w:rPr>
        <w:t xml:space="preserve">3 </w:t>
      </w:r>
      <w:r>
        <w:rPr>
          <w:color w:val="000000" w:themeColor="text1"/>
          <w14:textFill>
            <w14:solidFill>
              <w14:schemeClr w14:val="tx1"/>
            </w14:solidFill>
          </w14:textFill>
        </w:rPr>
        <w:t>Conclusions</w:t>
      </w:r>
    </w:p>
    <w:p>
      <w:pPr>
        <w:pStyle w:val="59"/>
        <w:spacing w:after="0"/>
        <w:ind w:left="0" w:firstLine="0"/>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 xml:space="preserve">Based on the discussions mentioned above, in this contribution we provide some discussions </w:t>
      </w:r>
      <w:r>
        <w:rPr>
          <w:rFonts w:ascii="Arial" w:hAnsi="Arial" w:cs="Arial" w:eastAsiaTheme="minorEastAsia"/>
          <w:color w:val="000000" w:themeColor="text1"/>
          <w:sz w:val="20"/>
          <w:szCs w:val="20"/>
          <w:lang w:eastAsia="zh-CN"/>
          <w14:textFill>
            <w14:solidFill>
              <w14:schemeClr w14:val="tx1"/>
            </w14:solidFill>
          </w14:textFill>
        </w:rPr>
        <w:t xml:space="preserve">on </w:t>
      </w:r>
      <w:r>
        <w:rPr>
          <w:rFonts w:ascii="Arial" w:hAnsi="Arial" w:cs="Arial" w:eastAsiaTheme="minorEastAsia"/>
          <w:bCs/>
          <w:color w:val="000000" w:themeColor="text1"/>
          <w:sz w:val="20"/>
          <w:szCs w:val="20"/>
          <w:lang w:eastAsia="zh-CN"/>
          <w14:textFill>
            <w14:solidFill>
              <w14:schemeClr w14:val="tx1"/>
            </w14:solidFill>
          </w14:textFill>
        </w:rPr>
        <w:t>measurements reporting enhancements for NR UAV</w:t>
      </w:r>
      <w:r>
        <w:rPr>
          <w:rFonts w:ascii="Arial" w:hAnsi="Arial" w:cs="Arial"/>
          <w:color w:val="000000" w:themeColor="text1"/>
          <w:sz w:val="20"/>
          <w:szCs w:val="20"/>
          <w14:textFill>
            <w14:solidFill>
              <w14:schemeClr w14:val="tx1"/>
            </w14:solidFill>
          </w14:textFill>
        </w:rPr>
        <w:t xml:space="preserve"> and have the following proposals:</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b/>
          <w:color w:val="000000" w:themeColor="text1"/>
          <w:lang w:val="en-US" w:eastAsia="zh-CN"/>
          <w14:textFill>
            <w14:solidFill>
              <w14:schemeClr w14:val="tx1"/>
            </w14:solidFill>
          </w14:textFill>
        </w:rPr>
      </w:pPr>
      <w:r>
        <w:rPr>
          <w:rFonts w:hint="eastAsia"/>
          <w:b/>
          <w:color w:val="000000" w:themeColor="text1"/>
          <w:lang w:val="en-US" w:eastAsia="zh-CN"/>
          <w14:textFill>
            <w14:solidFill>
              <w14:schemeClr w14:val="tx1"/>
            </w14:solidFill>
          </w14:textFill>
        </w:rPr>
        <w:t>Proposal</w:t>
      </w:r>
      <w:r>
        <w:rPr>
          <w:rFonts w:hint="default"/>
          <w:b/>
          <w:color w:val="000000" w:themeColor="text1"/>
          <w:lang w:val="en-US" w:eastAsia="zh-CN"/>
          <w14:textFill>
            <w14:solidFill>
              <w14:schemeClr w14:val="tx1"/>
            </w14:solidFill>
          </w14:textFill>
        </w:rPr>
        <w:t xml:space="preserve"> 1</w:t>
      </w:r>
      <w:r>
        <w:rPr>
          <w:rFonts w:hint="eastAsia"/>
          <w:b/>
          <w:color w:val="000000" w:themeColor="text1"/>
          <w:lang w:val="en-US" w:eastAsia="zh-CN"/>
          <w14:textFill>
            <w14:solidFill>
              <w14:schemeClr w14:val="tx1"/>
            </w14:solidFill>
          </w14:textFill>
        </w:rPr>
        <w:t xml:space="preserve">: </w:t>
      </w:r>
      <w:r>
        <w:rPr>
          <w:rFonts w:hint="default"/>
          <w:b/>
          <w:color w:val="000000" w:themeColor="text1"/>
          <w:lang w:val="en-US" w:eastAsia="zh-CN"/>
          <w14:textFill>
            <w14:solidFill>
              <w14:schemeClr w14:val="tx1"/>
            </w14:solidFill>
          </w14:textFill>
        </w:rPr>
        <w:t>It is proposed to configure a height range association a SSB set, and each SSB set contain several SSBs with side lobe of uptiled or downtiled excluded(i.e. if UAV UE height is above/below a threshold, the corresponding SSB set does not contain the side lobe of downtiled/uptiled).</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b/>
          <w:color w:val="000000" w:themeColor="text1"/>
          <w:lang w:val="en-US" w:eastAsia="zh-CN"/>
          <w14:textFill>
            <w14:solidFill>
              <w14:schemeClr w14:val="tx1"/>
            </w14:solidFill>
          </w14:textFill>
        </w:rPr>
      </w:pPr>
      <w:r>
        <w:rPr>
          <w:rFonts w:hint="eastAsia"/>
          <w:b/>
          <w:color w:val="000000" w:themeColor="text1"/>
          <w:lang w:val="en-US" w:eastAsia="zh-CN"/>
          <w14:textFill>
            <w14:solidFill>
              <w14:schemeClr w14:val="tx1"/>
            </w14:solidFill>
          </w14:textFill>
        </w:rPr>
        <w:t>Proposal</w:t>
      </w:r>
      <w:r>
        <w:rPr>
          <w:rFonts w:hint="default"/>
          <w:b/>
          <w:color w:val="000000" w:themeColor="text1"/>
          <w:lang w:val="en-US" w:eastAsia="zh-CN"/>
          <w14:textFill>
            <w14:solidFill>
              <w14:schemeClr w14:val="tx1"/>
            </w14:solidFill>
          </w14:textFill>
        </w:rPr>
        <w:t xml:space="preserve"> 2</w:t>
      </w:r>
      <w:r>
        <w:rPr>
          <w:rFonts w:hint="eastAsia"/>
          <w:b/>
          <w:color w:val="000000" w:themeColor="text1"/>
          <w:lang w:val="en-US" w:eastAsia="zh-CN"/>
          <w14:textFill>
            <w14:solidFill>
              <w14:schemeClr w14:val="tx1"/>
            </w14:solidFill>
          </w14:textFill>
        </w:rPr>
        <w:t>:</w:t>
      </w:r>
      <w:r>
        <w:rPr>
          <w:rFonts w:hint="default"/>
          <w:b/>
          <w:color w:val="000000" w:themeColor="text1"/>
          <w:lang w:val="en-US" w:eastAsia="zh-CN"/>
          <w14:textFill>
            <w14:solidFill>
              <w14:schemeClr w14:val="tx1"/>
            </w14:solidFill>
          </w14:textFill>
        </w:rPr>
        <w:t xml:space="preserve"> Upon UE receives MO with different SSB-ToMeasure, the consequent behaviour is expected to be same as in legacy(e.g. after RRCReconfiguration reception). </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color w:val="000000" w:themeColor="text1"/>
          <w:lang w:val="en-US"/>
          <w14:textFill>
            <w14:solidFill>
              <w14:schemeClr w14:val="tx1"/>
            </w14:solidFill>
          </w14:textFill>
        </w:rPr>
      </w:pPr>
      <w:r>
        <w:rPr>
          <w:rFonts w:hint="eastAsia"/>
          <w:b/>
          <w:color w:val="000000" w:themeColor="text1"/>
          <w:lang w:val="en-US" w:eastAsia="zh-CN"/>
          <w14:textFill>
            <w14:solidFill>
              <w14:schemeClr w14:val="tx1"/>
            </w14:solidFill>
          </w14:textFill>
        </w:rPr>
        <w:t>Proposal</w:t>
      </w:r>
      <w:r>
        <w:rPr>
          <w:rFonts w:hint="default"/>
          <w:b/>
          <w:color w:val="000000" w:themeColor="text1"/>
          <w:lang w:val="en-US" w:eastAsia="zh-CN"/>
          <w14:textFill>
            <w14:solidFill>
              <w14:schemeClr w14:val="tx1"/>
            </w14:solidFill>
          </w14:textFill>
        </w:rPr>
        <w:t xml:space="preserve"> 3</w:t>
      </w:r>
      <w:r>
        <w:rPr>
          <w:rFonts w:hint="eastAsia"/>
          <w:b/>
          <w:color w:val="000000" w:themeColor="text1"/>
          <w:lang w:val="en-US" w:eastAsia="zh-CN"/>
          <w14:textFill>
            <w14:solidFill>
              <w14:schemeClr w14:val="tx1"/>
            </w14:solidFill>
          </w14:textFill>
        </w:rPr>
        <w:t>:</w:t>
      </w:r>
      <w:r>
        <w:rPr>
          <w:rFonts w:hint="default"/>
          <w:b/>
          <w:color w:val="000000" w:themeColor="text1"/>
          <w:lang w:val="en-US" w:eastAsia="zh-CN"/>
          <w14:textFill>
            <w14:solidFill>
              <w14:schemeClr w14:val="tx1"/>
            </w14:solidFill>
          </w14:textFill>
        </w:rPr>
        <w:t xml:space="preserve"> It is proposed that event A4 threshold could be implement via the combinations of event.</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color w:val="000000" w:themeColor="text1"/>
          <w:lang w:val="en-US" w:eastAsia="zh-CN"/>
          <w14:textFill>
            <w14:solidFill>
              <w14:schemeClr w14:val="tx1"/>
            </w14:solidFill>
          </w14:textFill>
        </w:rPr>
      </w:pPr>
      <w:r>
        <w:rPr>
          <w:rFonts w:hint="eastAsia"/>
          <w:b/>
          <w:color w:val="000000" w:themeColor="text1"/>
          <w:lang w:val="en-US" w:eastAsia="zh-CN"/>
          <w14:textFill>
            <w14:solidFill>
              <w14:schemeClr w14:val="tx1"/>
            </w14:solidFill>
          </w14:textFill>
        </w:rPr>
        <w:t>Proposal</w:t>
      </w:r>
      <w:r>
        <w:rPr>
          <w:rFonts w:hint="default"/>
          <w:b/>
          <w:color w:val="000000" w:themeColor="text1"/>
          <w:lang w:val="en-US" w:eastAsia="zh-CN"/>
          <w14:textFill>
            <w14:solidFill>
              <w14:schemeClr w14:val="tx1"/>
            </w14:solidFill>
          </w14:textFill>
        </w:rPr>
        <w:t xml:space="preserve"> 4</w:t>
      </w:r>
      <w:r>
        <w:rPr>
          <w:rFonts w:hint="eastAsia"/>
          <w:b/>
          <w:color w:val="000000" w:themeColor="text1"/>
          <w:lang w:val="en-US" w:eastAsia="zh-CN"/>
          <w14:textFill>
            <w14:solidFill>
              <w14:schemeClr w14:val="tx1"/>
            </w14:solidFill>
          </w14:textFill>
        </w:rPr>
        <w:t>:</w:t>
      </w:r>
      <w:r>
        <w:rPr>
          <w:rFonts w:hint="default"/>
          <w:b/>
          <w:color w:val="000000" w:themeColor="text1"/>
          <w:lang w:val="en-US" w:eastAsia="zh-CN"/>
          <w14:textFill>
            <w14:solidFill>
              <w14:schemeClr w14:val="tx1"/>
            </w14:solidFill>
          </w14:textFill>
        </w:rPr>
        <w:t xml:space="preserve"> It is proposed to configure different numberoftriggeringcells value correspond to different height ranges, for example, height range 1 for NumberOfTriggeringCells value 1, height range 2 for NumberOfTriggeringCells value 2, and so on, and a step for height range could also be discussed.</w:t>
      </w:r>
    </w:p>
    <w:p>
      <w:pPr>
        <w:keepNext w:val="0"/>
        <w:keepLines w:val="0"/>
        <w:pageBreakBefore w:val="0"/>
        <w:widowControl/>
        <w:numPr>
          <w:ilvl w:val="0"/>
          <w:numId w:val="0"/>
        </w:numPr>
        <w:kinsoku/>
        <w:wordWrap/>
        <w:overflowPunct/>
        <w:topLinePunct w:val="0"/>
        <w:autoSpaceDE/>
        <w:autoSpaceDN/>
        <w:bidi w:val="0"/>
        <w:adjustRightInd/>
        <w:snapToGrid/>
        <w:ind w:left="0" w:leftChars="0"/>
        <w:textAlignment w:val="auto"/>
        <w:rPr>
          <w:rFonts w:hint="default"/>
          <w:b/>
          <w:color w:val="000000" w:themeColor="text1"/>
          <w:lang w:val="en-US" w:eastAsia="zh-CN"/>
          <w14:textFill>
            <w14:solidFill>
              <w14:schemeClr w14:val="tx1"/>
            </w14:solidFill>
          </w14:textFill>
        </w:rPr>
      </w:pPr>
      <w:r>
        <w:rPr>
          <w:rFonts w:hint="eastAsia"/>
          <w:b/>
          <w:color w:val="000000" w:themeColor="text1"/>
          <w:lang w:val="en-US" w:eastAsia="zh-CN"/>
          <w14:textFill>
            <w14:solidFill>
              <w14:schemeClr w14:val="tx1"/>
            </w14:solidFill>
          </w14:textFill>
        </w:rPr>
        <w:t xml:space="preserve">Proposal </w:t>
      </w:r>
      <w:r>
        <w:rPr>
          <w:rFonts w:hint="default"/>
          <w:b/>
          <w:color w:val="000000" w:themeColor="text1"/>
          <w:lang w:val="en-US" w:eastAsia="zh-CN"/>
          <w14:textFill>
            <w14:solidFill>
              <w14:schemeClr w14:val="tx1"/>
            </w14:solidFill>
          </w14:textFill>
        </w:rPr>
        <w:t xml:space="preserve">5: When event H1/H2 triggers, UAV UE’s height is not mandatory. And </w:t>
      </w:r>
      <w:r>
        <w:rPr>
          <w:rFonts w:hint="default"/>
          <w:b/>
          <w:i/>
          <w:iCs/>
          <w:color w:val="000000" w:themeColor="text1"/>
          <w:lang w:val="en-US" w:eastAsia="zh-CN"/>
          <w14:textFill>
            <w14:solidFill>
              <w14:schemeClr w14:val="tx1"/>
            </w14:solidFill>
          </w14:textFill>
        </w:rPr>
        <w:t xml:space="preserve">heightUE </w:t>
      </w:r>
      <w:r>
        <w:rPr>
          <w:rFonts w:hint="default"/>
          <w:b/>
          <w:color w:val="000000" w:themeColor="text1"/>
          <w:lang w:val="en-US" w:eastAsia="zh-CN"/>
          <w14:textFill>
            <w14:solidFill>
              <w14:schemeClr w14:val="tx1"/>
            </w14:solidFill>
          </w14:textFill>
        </w:rPr>
        <w:t>could be reused to carry the UAV UE’s height as in LTE.</w:t>
      </w:r>
    </w:p>
    <w:p>
      <w:pPr>
        <w:rPr>
          <w:b/>
          <w:color w:val="000000" w:themeColor="text1"/>
          <w:lang w:val="en-US" w:eastAsia="zh-CN"/>
          <w14:textFill>
            <w14:solidFill>
              <w14:schemeClr w14:val="tx1"/>
            </w14:solidFill>
          </w14:textFill>
        </w:rPr>
      </w:pPr>
      <w:r>
        <w:rPr>
          <w:rFonts w:hint="eastAsia"/>
          <w:b/>
          <w:color w:val="000000" w:themeColor="text1"/>
          <w:lang w:val="en-US" w:eastAsia="zh-CN"/>
          <w14:textFill>
            <w14:solidFill>
              <w14:schemeClr w14:val="tx1"/>
            </w14:solidFill>
          </w14:textFill>
        </w:rPr>
        <w:t xml:space="preserve">Proposal </w:t>
      </w:r>
      <w:r>
        <w:rPr>
          <w:rFonts w:hint="default"/>
          <w:b/>
          <w:color w:val="000000" w:themeColor="text1"/>
          <w:lang w:val="en-US" w:eastAsia="zh-CN"/>
          <w14:textFill>
            <w14:solidFill>
              <w14:schemeClr w14:val="tx1"/>
            </w14:solidFill>
          </w14:textFill>
        </w:rPr>
        <w:t>6</w:t>
      </w:r>
      <w:r>
        <w:rPr>
          <w:rFonts w:hint="eastAsia"/>
          <w:b/>
          <w:color w:val="000000" w:themeColor="text1"/>
          <w:lang w:val="en-US" w:eastAsia="zh-CN"/>
          <w14:textFill>
            <w14:solidFill>
              <w14:schemeClr w14:val="tx1"/>
            </w14:solidFill>
          </w14:textFill>
        </w:rPr>
        <w:t>:</w:t>
      </w:r>
      <w:r>
        <w:rPr>
          <w:b/>
          <w:color w:val="000000" w:themeColor="text1"/>
          <w:lang w:val="en-US" w:eastAsia="zh-CN"/>
          <w14:textFill>
            <w14:solidFill>
              <w14:schemeClr w14:val="tx1"/>
            </w14:solidFill>
          </w14:textFill>
        </w:rPr>
        <w:t xml:space="preserve"> It is proposed to discuss the user consent for location reporting in connected mode at the starting point for UAV and involve SA3 as early as possible to avoid not being able to resolve the issue well in the end.</w:t>
      </w:r>
    </w:p>
    <w:p>
      <w:pPr>
        <w:rPr>
          <w:rFonts w:ascii="Arial" w:hAnsi="Arial" w:cs="Arial"/>
          <w:color w:val="000000" w:themeColor="text1"/>
          <w:sz w:val="20"/>
          <w:szCs w:val="20"/>
          <w14:textFill>
            <w14:solidFill>
              <w14:schemeClr w14:val="tx1"/>
            </w14:solidFill>
          </w14:textFill>
        </w:rPr>
      </w:pPr>
      <w:r>
        <w:rPr>
          <w:rFonts w:hint="eastAsia"/>
          <w:b/>
          <w:color w:val="000000" w:themeColor="text1"/>
          <w:lang w:val="en-US" w:eastAsia="zh-CN"/>
          <w14:textFill>
            <w14:solidFill>
              <w14:schemeClr w14:val="tx1"/>
            </w14:solidFill>
          </w14:textFill>
        </w:rPr>
        <w:t xml:space="preserve">Proposal </w:t>
      </w:r>
      <w:r>
        <w:rPr>
          <w:rFonts w:hint="default"/>
          <w:b/>
          <w:color w:val="000000" w:themeColor="text1"/>
          <w:lang w:val="en-US" w:eastAsia="zh-CN"/>
          <w14:textFill>
            <w14:solidFill>
              <w14:schemeClr w14:val="tx1"/>
            </w14:solidFill>
          </w14:textFill>
        </w:rPr>
        <w:t>7</w:t>
      </w:r>
      <w:r>
        <w:rPr>
          <w:rFonts w:hint="eastAsia"/>
          <w:b/>
          <w:color w:val="000000" w:themeColor="text1"/>
          <w:lang w:val="en-US" w:eastAsia="zh-CN"/>
          <w14:textFill>
            <w14:solidFill>
              <w14:schemeClr w14:val="tx1"/>
            </w14:solidFill>
          </w14:textFill>
        </w:rPr>
        <w:t xml:space="preserve">: </w:t>
      </w:r>
      <w:r>
        <w:rPr>
          <w:rFonts w:hint="default"/>
          <w:b/>
          <w:color w:val="000000" w:themeColor="text1"/>
          <w:lang w:val="en-US" w:eastAsia="zh-CN"/>
          <w14:textFill>
            <w14:solidFill>
              <w14:schemeClr w14:val="tx1"/>
            </w14:solidFill>
          </w14:textFill>
        </w:rPr>
        <w:t>It is proposed that we could also consider further enhancements for vertical movement, for example, L1/L2 handover or virtual flying cell for UAV based on assistance information from UE, e.g. UE’s height, trajectory and other measurement related information to alleviate or avoid data transmission interruption due to the frequent handover.</w:t>
      </w:r>
    </w:p>
    <w:p>
      <w:pPr>
        <w:pStyle w:val="2"/>
        <w:numPr>
          <w:ilvl w:val="0"/>
          <w:numId w:val="8"/>
        </w:numPr>
        <w:rPr>
          <w:color w:val="000000" w:themeColor="text1"/>
          <w14:textFill>
            <w14:solidFill>
              <w14:schemeClr w14:val="tx1"/>
            </w14:solidFill>
          </w14:textFill>
        </w:rPr>
      </w:pPr>
      <w:r>
        <w:rPr>
          <w:rFonts w:hint="default"/>
          <w:color w:val="000000" w:themeColor="text1"/>
          <w:lang w:val="en-US"/>
          <w14:textFill>
            <w14:solidFill>
              <w14:schemeClr w14:val="tx1"/>
            </w14:solidFill>
          </w14:textFill>
        </w:rPr>
        <w:t xml:space="preserve"> </w:t>
      </w:r>
      <w:r>
        <w:rPr>
          <w:color w:val="000000" w:themeColor="text1"/>
          <w14:textFill>
            <w14:solidFill>
              <w14:schemeClr w14:val="tx1"/>
            </w14:solidFill>
          </w14:textFill>
        </w:rPr>
        <w:t>Reference</w:t>
      </w:r>
    </w:p>
    <w:p>
      <w:pPr>
        <w:numPr>
          <w:ilvl w:val="0"/>
          <w:numId w:val="9"/>
        </w:numPr>
        <w:spacing w:beforeLines="10" w:afterLines="10" w:line="264" w:lineRule="auto"/>
        <w:jc w:val="left"/>
        <w:textAlignment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R2-2304203_R2_121bis-e_Notes_R18 UAV NES R15-17 UP_SDT (Diana)_04-26</w:t>
      </w:r>
    </w:p>
    <w:p>
      <w:pPr>
        <w:numPr>
          <w:ilvl w:val="0"/>
          <w:numId w:val="9"/>
        </w:numPr>
        <w:spacing w:beforeLines="10" w:afterLines="10" w:line="264" w:lineRule="auto"/>
        <w:jc w:val="left"/>
        <w:textAlignment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R2-2300479 Report from [Post120][312][UAV] Mobility Control for UAVs (Nokia)_summary</w:t>
      </w: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24B5C"/>
    <w:multiLevelType w:val="multilevel"/>
    <w:tmpl w:val="01524B5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3EC52FA"/>
    <w:multiLevelType w:val="multilevel"/>
    <w:tmpl w:val="23EC52FA"/>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335E50B2"/>
    <w:multiLevelType w:val="multilevel"/>
    <w:tmpl w:val="335E50B2"/>
    <w:lvl w:ilvl="0" w:tentative="0">
      <w:start w:val="1"/>
      <w:numFmt w:val="decimal"/>
      <w:pStyle w:val="94"/>
      <w:lvlText w:val="%1"/>
      <w:lvlJc w:val="left"/>
      <w:pPr>
        <w:tabs>
          <w:tab w:val="left" w:pos="420"/>
        </w:tabs>
        <w:ind w:left="420" w:hanging="420"/>
      </w:pPr>
      <w:rPr>
        <w:rFonts w:hint="eastAsia"/>
        <w:lang w:val="en-GB"/>
      </w:rPr>
    </w:lvl>
    <w:lvl w:ilvl="1" w:tentative="0">
      <w:start w:val="1"/>
      <w:numFmt w:val="upperLetter"/>
      <w:lvlText w:val="%2."/>
      <w:lvlJc w:val="left"/>
      <w:pPr>
        <w:tabs>
          <w:tab w:val="left" w:pos="840"/>
        </w:tabs>
        <w:ind w:left="840" w:hanging="420"/>
      </w:pPr>
      <w:rPr>
        <w:rFonts w:hint="eastAsia"/>
        <w:sz w:val="18"/>
        <w:szCs w:val="18"/>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96D56AB"/>
    <w:multiLevelType w:val="multilevel"/>
    <w:tmpl w:val="396D56AB"/>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3A877D64"/>
    <w:multiLevelType w:val="singleLevel"/>
    <w:tmpl w:val="3A877D64"/>
    <w:lvl w:ilvl="0" w:tentative="0">
      <w:start w:val="1"/>
      <w:numFmt w:val="decimal"/>
      <w:pStyle w:val="119"/>
      <w:lvlText w:val="[%1]"/>
      <w:lvlJc w:val="left"/>
      <w:pPr>
        <w:tabs>
          <w:tab w:val="left" w:pos="360"/>
        </w:tabs>
        <w:ind w:left="360" w:hanging="360"/>
      </w:pPr>
    </w:lvl>
  </w:abstractNum>
  <w:abstractNum w:abstractNumId="5">
    <w:nsid w:val="3AA46647"/>
    <w:multiLevelType w:val="multilevel"/>
    <w:tmpl w:val="3AA46647"/>
    <w:lvl w:ilvl="0" w:tentative="0">
      <w:start w:val="1"/>
      <w:numFmt w:val="decimal"/>
      <w:pStyle w:val="9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63690C9E"/>
    <w:multiLevelType w:val="singleLevel"/>
    <w:tmpl w:val="63690C9E"/>
    <w:lvl w:ilvl="0" w:tentative="0">
      <w:start w:val="1"/>
      <w:numFmt w:val="bullet"/>
      <w:pStyle w:val="108"/>
      <w:lvlText w:val=""/>
      <w:lvlJc w:val="left"/>
      <w:pPr>
        <w:tabs>
          <w:tab w:val="left" w:pos="360"/>
        </w:tabs>
        <w:ind w:left="360" w:hanging="360"/>
      </w:pPr>
      <w:rPr>
        <w:rFonts w:hint="default" w:ascii="Wingdings" w:hAnsi="Wingdings"/>
      </w:rPr>
    </w:lvl>
  </w:abstractNum>
  <w:abstractNum w:abstractNumId="7">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5"/>
  </w:num>
  <w:num w:numId="4">
    <w:abstractNumId w:val="7"/>
  </w:num>
  <w:num w:numId="5">
    <w:abstractNumId w:val="6"/>
  </w:num>
  <w:num w:numId="6">
    <w:abstractNumId w:val="4"/>
  </w:num>
  <w:num w:numId="7">
    <w:abstractNumId w:val="3"/>
  </w:num>
  <w:num w:numId="8">
    <w:abstractNumId w:val="1"/>
    <w:lvlOverride w:ilvl="0">
      <w:startOverride w:val="4"/>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4E0"/>
    <w:rsid w:val="00003616"/>
    <w:rsid w:val="00003990"/>
    <w:rsid w:val="00003B98"/>
    <w:rsid w:val="00003E6A"/>
    <w:rsid w:val="00003EA5"/>
    <w:rsid w:val="0000456A"/>
    <w:rsid w:val="00004D29"/>
    <w:rsid w:val="0000587A"/>
    <w:rsid w:val="00007714"/>
    <w:rsid w:val="00007F8B"/>
    <w:rsid w:val="0001023B"/>
    <w:rsid w:val="00010C0B"/>
    <w:rsid w:val="000122AF"/>
    <w:rsid w:val="000125FD"/>
    <w:rsid w:val="00012716"/>
    <w:rsid w:val="00014220"/>
    <w:rsid w:val="00014E7A"/>
    <w:rsid w:val="00015A02"/>
    <w:rsid w:val="00015B69"/>
    <w:rsid w:val="00015F4C"/>
    <w:rsid w:val="000161F8"/>
    <w:rsid w:val="000174E0"/>
    <w:rsid w:val="0001793A"/>
    <w:rsid w:val="00017B7C"/>
    <w:rsid w:val="00020161"/>
    <w:rsid w:val="00020852"/>
    <w:rsid w:val="0002157D"/>
    <w:rsid w:val="000219F2"/>
    <w:rsid w:val="00022177"/>
    <w:rsid w:val="00022E3A"/>
    <w:rsid w:val="000240C1"/>
    <w:rsid w:val="000248A9"/>
    <w:rsid w:val="00025379"/>
    <w:rsid w:val="000270DA"/>
    <w:rsid w:val="000270E7"/>
    <w:rsid w:val="00027C30"/>
    <w:rsid w:val="00027CA8"/>
    <w:rsid w:val="00030121"/>
    <w:rsid w:val="00030C4D"/>
    <w:rsid w:val="00030E72"/>
    <w:rsid w:val="00031BD0"/>
    <w:rsid w:val="00032D6F"/>
    <w:rsid w:val="00033397"/>
    <w:rsid w:val="0003376D"/>
    <w:rsid w:val="00034647"/>
    <w:rsid w:val="00034AEF"/>
    <w:rsid w:val="00034D4E"/>
    <w:rsid w:val="00034E2C"/>
    <w:rsid w:val="000350F4"/>
    <w:rsid w:val="0003561C"/>
    <w:rsid w:val="00040095"/>
    <w:rsid w:val="000403CE"/>
    <w:rsid w:val="0004310B"/>
    <w:rsid w:val="000436E9"/>
    <w:rsid w:val="0004450E"/>
    <w:rsid w:val="00044C0E"/>
    <w:rsid w:val="0004550F"/>
    <w:rsid w:val="00045E7E"/>
    <w:rsid w:val="000460E1"/>
    <w:rsid w:val="000464E0"/>
    <w:rsid w:val="00046994"/>
    <w:rsid w:val="00047614"/>
    <w:rsid w:val="000502EC"/>
    <w:rsid w:val="00050887"/>
    <w:rsid w:val="00052174"/>
    <w:rsid w:val="00052828"/>
    <w:rsid w:val="00052AF6"/>
    <w:rsid w:val="00053153"/>
    <w:rsid w:val="00053199"/>
    <w:rsid w:val="000531D7"/>
    <w:rsid w:val="0005391F"/>
    <w:rsid w:val="00053C61"/>
    <w:rsid w:val="00053F81"/>
    <w:rsid w:val="0005495D"/>
    <w:rsid w:val="00055A08"/>
    <w:rsid w:val="00056579"/>
    <w:rsid w:val="0006031A"/>
    <w:rsid w:val="00060F59"/>
    <w:rsid w:val="00060FDF"/>
    <w:rsid w:val="0006115F"/>
    <w:rsid w:val="00061AFD"/>
    <w:rsid w:val="00061B07"/>
    <w:rsid w:val="0006303C"/>
    <w:rsid w:val="000634BE"/>
    <w:rsid w:val="0006400A"/>
    <w:rsid w:val="000643D1"/>
    <w:rsid w:val="00064FC1"/>
    <w:rsid w:val="000676BC"/>
    <w:rsid w:val="00070861"/>
    <w:rsid w:val="0007199C"/>
    <w:rsid w:val="00072732"/>
    <w:rsid w:val="0007288A"/>
    <w:rsid w:val="000733A5"/>
    <w:rsid w:val="0007394C"/>
    <w:rsid w:val="000750F6"/>
    <w:rsid w:val="00080179"/>
    <w:rsid w:val="00080512"/>
    <w:rsid w:val="0008064B"/>
    <w:rsid w:val="000820C6"/>
    <w:rsid w:val="0008489D"/>
    <w:rsid w:val="0008538A"/>
    <w:rsid w:val="00085455"/>
    <w:rsid w:val="00085AB3"/>
    <w:rsid w:val="00086C2C"/>
    <w:rsid w:val="000900C6"/>
    <w:rsid w:val="00090785"/>
    <w:rsid w:val="00093DB2"/>
    <w:rsid w:val="00094964"/>
    <w:rsid w:val="00094B96"/>
    <w:rsid w:val="0009591F"/>
    <w:rsid w:val="000979AE"/>
    <w:rsid w:val="000A0C4C"/>
    <w:rsid w:val="000A26F7"/>
    <w:rsid w:val="000A2A50"/>
    <w:rsid w:val="000A3E54"/>
    <w:rsid w:val="000A4883"/>
    <w:rsid w:val="000A4DC3"/>
    <w:rsid w:val="000A5F40"/>
    <w:rsid w:val="000A6537"/>
    <w:rsid w:val="000A72AC"/>
    <w:rsid w:val="000B0541"/>
    <w:rsid w:val="000B10FE"/>
    <w:rsid w:val="000B188D"/>
    <w:rsid w:val="000B1BAD"/>
    <w:rsid w:val="000B26DB"/>
    <w:rsid w:val="000B3310"/>
    <w:rsid w:val="000B3987"/>
    <w:rsid w:val="000B5D97"/>
    <w:rsid w:val="000B6152"/>
    <w:rsid w:val="000B6B8C"/>
    <w:rsid w:val="000B7452"/>
    <w:rsid w:val="000B7ACC"/>
    <w:rsid w:val="000B7BCF"/>
    <w:rsid w:val="000C2B95"/>
    <w:rsid w:val="000C3112"/>
    <w:rsid w:val="000C4799"/>
    <w:rsid w:val="000C479C"/>
    <w:rsid w:val="000C4D43"/>
    <w:rsid w:val="000C5B65"/>
    <w:rsid w:val="000C5D51"/>
    <w:rsid w:val="000C6851"/>
    <w:rsid w:val="000C68DE"/>
    <w:rsid w:val="000C7A22"/>
    <w:rsid w:val="000C7CDA"/>
    <w:rsid w:val="000D1326"/>
    <w:rsid w:val="000D1382"/>
    <w:rsid w:val="000D16F8"/>
    <w:rsid w:val="000D1AD9"/>
    <w:rsid w:val="000D1BB1"/>
    <w:rsid w:val="000D232F"/>
    <w:rsid w:val="000D2E5C"/>
    <w:rsid w:val="000D486A"/>
    <w:rsid w:val="000D5751"/>
    <w:rsid w:val="000D58AB"/>
    <w:rsid w:val="000D7C6A"/>
    <w:rsid w:val="000E11A6"/>
    <w:rsid w:val="000E11D6"/>
    <w:rsid w:val="000E3503"/>
    <w:rsid w:val="000E46A4"/>
    <w:rsid w:val="000E49DA"/>
    <w:rsid w:val="000E4EF8"/>
    <w:rsid w:val="000E530B"/>
    <w:rsid w:val="000E5325"/>
    <w:rsid w:val="000E6EF7"/>
    <w:rsid w:val="000F003B"/>
    <w:rsid w:val="000F387E"/>
    <w:rsid w:val="000F4E5D"/>
    <w:rsid w:val="000F76EA"/>
    <w:rsid w:val="000F7E1A"/>
    <w:rsid w:val="0010159D"/>
    <w:rsid w:val="00101C13"/>
    <w:rsid w:val="00101C19"/>
    <w:rsid w:val="00102B50"/>
    <w:rsid w:val="00103FD9"/>
    <w:rsid w:val="00105284"/>
    <w:rsid w:val="00105382"/>
    <w:rsid w:val="00105EE4"/>
    <w:rsid w:val="0010714E"/>
    <w:rsid w:val="001119E8"/>
    <w:rsid w:val="00116505"/>
    <w:rsid w:val="00117213"/>
    <w:rsid w:val="00120561"/>
    <w:rsid w:val="00120849"/>
    <w:rsid w:val="00120C1A"/>
    <w:rsid w:val="001213D5"/>
    <w:rsid w:val="0012180D"/>
    <w:rsid w:val="0012291B"/>
    <w:rsid w:val="00122D33"/>
    <w:rsid w:val="0012397B"/>
    <w:rsid w:val="00123BA3"/>
    <w:rsid w:val="001242F1"/>
    <w:rsid w:val="00124CF4"/>
    <w:rsid w:val="001256E2"/>
    <w:rsid w:val="00125F45"/>
    <w:rsid w:val="00126FC1"/>
    <w:rsid w:val="00127425"/>
    <w:rsid w:val="00127966"/>
    <w:rsid w:val="001279B5"/>
    <w:rsid w:val="00130BF7"/>
    <w:rsid w:val="0013410C"/>
    <w:rsid w:val="00134F72"/>
    <w:rsid w:val="0013511F"/>
    <w:rsid w:val="001359EF"/>
    <w:rsid w:val="00135F51"/>
    <w:rsid w:val="00136C50"/>
    <w:rsid w:val="00137680"/>
    <w:rsid w:val="00137923"/>
    <w:rsid w:val="001407B2"/>
    <w:rsid w:val="00140FA4"/>
    <w:rsid w:val="00142FDB"/>
    <w:rsid w:val="00143032"/>
    <w:rsid w:val="001443A3"/>
    <w:rsid w:val="00144940"/>
    <w:rsid w:val="00147252"/>
    <w:rsid w:val="0014763D"/>
    <w:rsid w:val="001478E6"/>
    <w:rsid w:val="00147936"/>
    <w:rsid w:val="00150920"/>
    <w:rsid w:val="00154396"/>
    <w:rsid w:val="001544A7"/>
    <w:rsid w:val="001554EF"/>
    <w:rsid w:val="00156032"/>
    <w:rsid w:val="001561D9"/>
    <w:rsid w:val="00157AAC"/>
    <w:rsid w:val="00157B2B"/>
    <w:rsid w:val="00160055"/>
    <w:rsid w:val="001600B9"/>
    <w:rsid w:val="001603B8"/>
    <w:rsid w:val="00160A68"/>
    <w:rsid w:val="001614CF"/>
    <w:rsid w:val="00162453"/>
    <w:rsid w:val="001625D3"/>
    <w:rsid w:val="00162732"/>
    <w:rsid w:val="00163D2B"/>
    <w:rsid w:val="00164CE2"/>
    <w:rsid w:val="00164E21"/>
    <w:rsid w:val="00165A0A"/>
    <w:rsid w:val="001676F5"/>
    <w:rsid w:val="00167DA4"/>
    <w:rsid w:val="0017139A"/>
    <w:rsid w:val="0017187C"/>
    <w:rsid w:val="00172326"/>
    <w:rsid w:val="00172A27"/>
    <w:rsid w:val="001735B1"/>
    <w:rsid w:val="00174BF6"/>
    <w:rsid w:val="001777C1"/>
    <w:rsid w:val="00177D29"/>
    <w:rsid w:val="001802E7"/>
    <w:rsid w:val="001805A4"/>
    <w:rsid w:val="001832E6"/>
    <w:rsid w:val="001835B7"/>
    <w:rsid w:val="00183678"/>
    <w:rsid w:val="00183A6C"/>
    <w:rsid w:val="00183F3B"/>
    <w:rsid w:val="0018433A"/>
    <w:rsid w:val="00184463"/>
    <w:rsid w:val="001847AA"/>
    <w:rsid w:val="00184D9A"/>
    <w:rsid w:val="0018760F"/>
    <w:rsid w:val="00191464"/>
    <w:rsid w:val="00193E60"/>
    <w:rsid w:val="00194051"/>
    <w:rsid w:val="00194CD0"/>
    <w:rsid w:val="00195185"/>
    <w:rsid w:val="00195C95"/>
    <w:rsid w:val="0019620C"/>
    <w:rsid w:val="001A2A20"/>
    <w:rsid w:val="001A3BB0"/>
    <w:rsid w:val="001A3CD8"/>
    <w:rsid w:val="001A4962"/>
    <w:rsid w:val="001A4A8B"/>
    <w:rsid w:val="001A6106"/>
    <w:rsid w:val="001A7EB8"/>
    <w:rsid w:val="001B03D8"/>
    <w:rsid w:val="001B093F"/>
    <w:rsid w:val="001B0FB4"/>
    <w:rsid w:val="001B2DB0"/>
    <w:rsid w:val="001B3099"/>
    <w:rsid w:val="001B44CE"/>
    <w:rsid w:val="001B53C0"/>
    <w:rsid w:val="001B56B4"/>
    <w:rsid w:val="001B7022"/>
    <w:rsid w:val="001B7811"/>
    <w:rsid w:val="001C2503"/>
    <w:rsid w:val="001C2F98"/>
    <w:rsid w:val="001C323B"/>
    <w:rsid w:val="001C45F4"/>
    <w:rsid w:val="001C50DD"/>
    <w:rsid w:val="001C5378"/>
    <w:rsid w:val="001C5450"/>
    <w:rsid w:val="001C5C52"/>
    <w:rsid w:val="001D0189"/>
    <w:rsid w:val="001D1578"/>
    <w:rsid w:val="001D15D8"/>
    <w:rsid w:val="001D197B"/>
    <w:rsid w:val="001D1F08"/>
    <w:rsid w:val="001D2E00"/>
    <w:rsid w:val="001D3CC0"/>
    <w:rsid w:val="001D4C0E"/>
    <w:rsid w:val="001D5F4E"/>
    <w:rsid w:val="001D75BB"/>
    <w:rsid w:val="001E0BFB"/>
    <w:rsid w:val="001E2D16"/>
    <w:rsid w:val="001E323F"/>
    <w:rsid w:val="001E47FE"/>
    <w:rsid w:val="001E4A99"/>
    <w:rsid w:val="001E525C"/>
    <w:rsid w:val="001E5272"/>
    <w:rsid w:val="001E669A"/>
    <w:rsid w:val="001E77EB"/>
    <w:rsid w:val="001F11CA"/>
    <w:rsid w:val="001F168B"/>
    <w:rsid w:val="001F185D"/>
    <w:rsid w:val="001F45B0"/>
    <w:rsid w:val="001F48FC"/>
    <w:rsid w:val="001F517E"/>
    <w:rsid w:val="001F5D82"/>
    <w:rsid w:val="001F6221"/>
    <w:rsid w:val="0020028B"/>
    <w:rsid w:val="002009F7"/>
    <w:rsid w:val="002010E8"/>
    <w:rsid w:val="00201577"/>
    <w:rsid w:val="002024C6"/>
    <w:rsid w:val="002025E3"/>
    <w:rsid w:val="002029DB"/>
    <w:rsid w:val="00202BE3"/>
    <w:rsid w:val="00203B50"/>
    <w:rsid w:val="00203DC7"/>
    <w:rsid w:val="00203E22"/>
    <w:rsid w:val="00204320"/>
    <w:rsid w:val="00204BDF"/>
    <w:rsid w:val="00204E8C"/>
    <w:rsid w:val="00205F3B"/>
    <w:rsid w:val="002070CF"/>
    <w:rsid w:val="00207534"/>
    <w:rsid w:val="00207BC3"/>
    <w:rsid w:val="002108BE"/>
    <w:rsid w:val="00210E31"/>
    <w:rsid w:val="00211184"/>
    <w:rsid w:val="0021246A"/>
    <w:rsid w:val="002127DF"/>
    <w:rsid w:val="00212AFB"/>
    <w:rsid w:val="00212B42"/>
    <w:rsid w:val="002137CC"/>
    <w:rsid w:val="0021381E"/>
    <w:rsid w:val="002142B7"/>
    <w:rsid w:val="00214FE7"/>
    <w:rsid w:val="002153FF"/>
    <w:rsid w:val="002160F1"/>
    <w:rsid w:val="00216103"/>
    <w:rsid w:val="002176BF"/>
    <w:rsid w:val="00217703"/>
    <w:rsid w:val="002178E0"/>
    <w:rsid w:val="002215BA"/>
    <w:rsid w:val="002224B0"/>
    <w:rsid w:val="00225E9B"/>
    <w:rsid w:val="0022606D"/>
    <w:rsid w:val="00226382"/>
    <w:rsid w:val="0022658C"/>
    <w:rsid w:val="00226A73"/>
    <w:rsid w:val="0022723F"/>
    <w:rsid w:val="00227673"/>
    <w:rsid w:val="00227D1C"/>
    <w:rsid w:val="00227E30"/>
    <w:rsid w:val="00230146"/>
    <w:rsid w:val="00231E57"/>
    <w:rsid w:val="0023444D"/>
    <w:rsid w:val="00236135"/>
    <w:rsid w:val="002364A3"/>
    <w:rsid w:val="00236D7A"/>
    <w:rsid w:val="0023703C"/>
    <w:rsid w:val="00237561"/>
    <w:rsid w:val="0023771C"/>
    <w:rsid w:val="002403F2"/>
    <w:rsid w:val="002406FB"/>
    <w:rsid w:val="00240B3D"/>
    <w:rsid w:val="002410AB"/>
    <w:rsid w:val="002411D5"/>
    <w:rsid w:val="00243AD2"/>
    <w:rsid w:val="00247B53"/>
    <w:rsid w:val="0025065E"/>
    <w:rsid w:val="0025073B"/>
    <w:rsid w:val="00250985"/>
    <w:rsid w:val="002525DC"/>
    <w:rsid w:val="00252FAD"/>
    <w:rsid w:val="00253D53"/>
    <w:rsid w:val="002543D2"/>
    <w:rsid w:val="002559FC"/>
    <w:rsid w:val="00256ACF"/>
    <w:rsid w:val="00260BC2"/>
    <w:rsid w:val="002622AB"/>
    <w:rsid w:val="0026238B"/>
    <w:rsid w:val="002625AA"/>
    <w:rsid w:val="0026264C"/>
    <w:rsid w:val="00263079"/>
    <w:rsid w:val="00263130"/>
    <w:rsid w:val="00263268"/>
    <w:rsid w:val="0026362F"/>
    <w:rsid w:val="00264063"/>
    <w:rsid w:val="002650AE"/>
    <w:rsid w:val="002650B3"/>
    <w:rsid w:val="00265F54"/>
    <w:rsid w:val="00266276"/>
    <w:rsid w:val="002664E2"/>
    <w:rsid w:val="002664FD"/>
    <w:rsid w:val="002666C6"/>
    <w:rsid w:val="002701BA"/>
    <w:rsid w:val="002709CF"/>
    <w:rsid w:val="002712D1"/>
    <w:rsid w:val="0027182B"/>
    <w:rsid w:val="00273CC1"/>
    <w:rsid w:val="002746E4"/>
    <w:rsid w:val="0027536F"/>
    <w:rsid w:val="00276DC7"/>
    <w:rsid w:val="0027763F"/>
    <w:rsid w:val="00280D6A"/>
    <w:rsid w:val="00281A6F"/>
    <w:rsid w:val="00281FD2"/>
    <w:rsid w:val="002820EB"/>
    <w:rsid w:val="002824D9"/>
    <w:rsid w:val="00283B90"/>
    <w:rsid w:val="00284846"/>
    <w:rsid w:val="00284CF7"/>
    <w:rsid w:val="002855BF"/>
    <w:rsid w:val="00285DF7"/>
    <w:rsid w:val="002866EF"/>
    <w:rsid w:val="0029002F"/>
    <w:rsid w:val="00291D64"/>
    <w:rsid w:val="00291F21"/>
    <w:rsid w:val="00292FB6"/>
    <w:rsid w:val="0029471A"/>
    <w:rsid w:val="00294800"/>
    <w:rsid w:val="00295220"/>
    <w:rsid w:val="00295394"/>
    <w:rsid w:val="00295401"/>
    <w:rsid w:val="002962F6"/>
    <w:rsid w:val="00297FCD"/>
    <w:rsid w:val="002A01B6"/>
    <w:rsid w:val="002A09A8"/>
    <w:rsid w:val="002A1CC6"/>
    <w:rsid w:val="002A2263"/>
    <w:rsid w:val="002A341B"/>
    <w:rsid w:val="002A353D"/>
    <w:rsid w:val="002A6310"/>
    <w:rsid w:val="002A683A"/>
    <w:rsid w:val="002A733A"/>
    <w:rsid w:val="002B0E72"/>
    <w:rsid w:val="002B11C9"/>
    <w:rsid w:val="002B1533"/>
    <w:rsid w:val="002B26B1"/>
    <w:rsid w:val="002B3195"/>
    <w:rsid w:val="002B4B1A"/>
    <w:rsid w:val="002B7B3F"/>
    <w:rsid w:val="002C00C2"/>
    <w:rsid w:val="002C0EAB"/>
    <w:rsid w:val="002C0EC7"/>
    <w:rsid w:val="002C1DD4"/>
    <w:rsid w:val="002C2863"/>
    <w:rsid w:val="002C2CB6"/>
    <w:rsid w:val="002C356A"/>
    <w:rsid w:val="002C494B"/>
    <w:rsid w:val="002C4AA9"/>
    <w:rsid w:val="002C6985"/>
    <w:rsid w:val="002D13A3"/>
    <w:rsid w:val="002D2FA3"/>
    <w:rsid w:val="002D3D4E"/>
    <w:rsid w:val="002D485E"/>
    <w:rsid w:val="002D581D"/>
    <w:rsid w:val="002D59B0"/>
    <w:rsid w:val="002D763C"/>
    <w:rsid w:val="002E0625"/>
    <w:rsid w:val="002E077B"/>
    <w:rsid w:val="002E1A79"/>
    <w:rsid w:val="002E31B5"/>
    <w:rsid w:val="002E3333"/>
    <w:rsid w:val="002E4BEC"/>
    <w:rsid w:val="002E4DD2"/>
    <w:rsid w:val="002E4EA6"/>
    <w:rsid w:val="002E52E8"/>
    <w:rsid w:val="002E5658"/>
    <w:rsid w:val="002E5B9D"/>
    <w:rsid w:val="002F018F"/>
    <w:rsid w:val="002F01B3"/>
    <w:rsid w:val="002F068F"/>
    <w:rsid w:val="002F0D22"/>
    <w:rsid w:val="002F2EBD"/>
    <w:rsid w:val="002F396E"/>
    <w:rsid w:val="002F4C4E"/>
    <w:rsid w:val="002F53F3"/>
    <w:rsid w:val="002F6E94"/>
    <w:rsid w:val="003001CE"/>
    <w:rsid w:val="003004B8"/>
    <w:rsid w:val="00300CFC"/>
    <w:rsid w:val="00301125"/>
    <w:rsid w:val="00301CCB"/>
    <w:rsid w:val="00303573"/>
    <w:rsid w:val="00304452"/>
    <w:rsid w:val="00305BAE"/>
    <w:rsid w:val="00305F23"/>
    <w:rsid w:val="00306CEF"/>
    <w:rsid w:val="00307EEB"/>
    <w:rsid w:val="003107FE"/>
    <w:rsid w:val="00311756"/>
    <w:rsid w:val="00311F7E"/>
    <w:rsid w:val="00312DE3"/>
    <w:rsid w:val="0031389E"/>
    <w:rsid w:val="003153B5"/>
    <w:rsid w:val="003153BC"/>
    <w:rsid w:val="00315925"/>
    <w:rsid w:val="0031637A"/>
    <w:rsid w:val="003172DC"/>
    <w:rsid w:val="00320219"/>
    <w:rsid w:val="003213EC"/>
    <w:rsid w:val="003216F2"/>
    <w:rsid w:val="0032249F"/>
    <w:rsid w:val="00322FB7"/>
    <w:rsid w:val="00323F11"/>
    <w:rsid w:val="00324E00"/>
    <w:rsid w:val="0032541A"/>
    <w:rsid w:val="00326069"/>
    <w:rsid w:val="00326283"/>
    <w:rsid w:val="00326507"/>
    <w:rsid w:val="0032725A"/>
    <w:rsid w:val="00330063"/>
    <w:rsid w:val="00331FE4"/>
    <w:rsid w:val="00332D40"/>
    <w:rsid w:val="00332D9C"/>
    <w:rsid w:val="00333389"/>
    <w:rsid w:val="003333EE"/>
    <w:rsid w:val="00334231"/>
    <w:rsid w:val="003354D2"/>
    <w:rsid w:val="00335B77"/>
    <w:rsid w:val="0033672C"/>
    <w:rsid w:val="0033742D"/>
    <w:rsid w:val="003376FE"/>
    <w:rsid w:val="003405D0"/>
    <w:rsid w:val="003408E8"/>
    <w:rsid w:val="00341047"/>
    <w:rsid w:val="0034188B"/>
    <w:rsid w:val="00342ECB"/>
    <w:rsid w:val="00343B0B"/>
    <w:rsid w:val="003445AF"/>
    <w:rsid w:val="00345E5E"/>
    <w:rsid w:val="00347B6B"/>
    <w:rsid w:val="00350E49"/>
    <w:rsid w:val="003513F4"/>
    <w:rsid w:val="00351750"/>
    <w:rsid w:val="003520EB"/>
    <w:rsid w:val="003523D2"/>
    <w:rsid w:val="0035284E"/>
    <w:rsid w:val="00352C96"/>
    <w:rsid w:val="003538ED"/>
    <w:rsid w:val="003539FE"/>
    <w:rsid w:val="00353EBD"/>
    <w:rsid w:val="0035462D"/>
    <w:rsid w:val="00354802"/>
    <w:rsid w:val="00354DCE"/>
    <w:rsid w:val="003555C6"/>
    <w:rsid w:val="00355DB5"/>
    <w:rsid w:val="00355E81"/>
    <w:rsid w:val="00357A89"/>
    <w:rsid w:val="00357EFE"/>
    <w:rsid w:val="003610AC"/>
    <w:rsid w:val="0036260E"/>
    <w:rsid w:val="003657A3"/>
    <w:rsid w:val="00365C22"/>
    <w:rsid w:val="00367880"/>
    <w:rsid w:val="00367936"/>
    <w:rsid w:val="003679D1"/>
    <w:rsid w:val="0037039E"/>
    <w:rsid w:val="00370BC0"/>
    <w:rsid w:val="00370F5E"/>
    <w:rsid w:val="00371A02"/>
    <w:rsid w:val="003731BB"/>
    <w:rsid w:val="00373346"/>
    <w:rsid w:val="00373577"/>
    <w:rsid w:val="003738F7"/>
    <w:rsid w:val="00374039"/>
    <w:rsid w:val="0037410C"/>
    <w:rsid w:val="003749F4"/>
    <w:rsid w:val="00375AFD"/>
    <w:rsid w:val="0037684E"/>
    <w:rsid w:val="00377915"/>
    <w:rsid w:val="00380617"/>
    <w:rsid w:val="00380F85"/>
    <w:rsid w:val="00381040"/>
    <w:rsid w:val="00381EFD"/>
    <w:rsid w:val="0038229D"/>
    <w:rsid w:val="00382884"/>
    <w:rsid w:val="003849AD"/>
    <w:rsid w:val="0038604E"/>
    <w:rsid w:val="00386211"/>
    <w:rsid w:val="0038768F"/>
    <w:rsid w:val="00390013"/>
    <w:rsid w:val="00391D54"/>
    <w:rsid w:val="00392B0D"/>
    <w:rsid w:val="00392EC0"/>
    <w:rsid w:val="00393B5C"/>
    <w:rsid w:val="00394E75"/>
    <w:rsid w:val="00395841"/>
    <w:rsid w:val="00395843"/>
    <w:rsid w:val="00395E28"/>
    <w:rsid w:val="00396D63"/>
    <w:rsid w:val="00397310"/>
    <w:rsid w:val="003979C6"/>
    <w:rsid w:val="003A014E"/>
    <w:rsid w:val="003A0881"/>
    <w:rsid w:val="003A08DF"/>
    <w:rsid w:val="003A3026"/>
    <w:rsid w:val="003A4071"/>
    <w:rsid w:val="003A417A"/>
    <w:rsid w:val="003A504C"/>
    <w:rsid w:val="003A5432"/>
    <w:rsid w:val="003A57BB"/>
    <w:rsid w:val="003A5B69"/>
    <w:rsid w:val="003A6393"/>
    <w:rsid w:val="003A656C"/>
    <w:rsid w:val="003A75C4"/>
    <w:rsid w:val="003A7E69"/>
    <w:rsid w:val="003B01E4"/>
    <w:rsid w:val="003B095F"/>
    <w:rsid w:val="003B102D"/>
    <w:rsid w:val="003B301F"/>
    <w:rsid w:val="003B3E00"/>
    <w:rsid w:val="003B4933"/>
    <w:rsid w:val="003B53E7"/>
    <w:rsid w:val="003B58A6"/>
    <w:rsid w:val="003B77A1"/>
    <w:rsid w:val="003C565F"/>
    <w:rsid w:val="003C58B2"/>
    <w:rsid w:val="003C5B86"/>
    <w:rsid w:val="003C5C02"/>
    <w:rsid w:val="003C609D"/>
    <w:rsid w:val="003C66F7"/>
    <w:rsid w:val="003C70F1"/>
    <w:rsid w:val="003C75FF"/>
    <w:rsid w:val="003C7655"/>
    <w:rsid w:val="003D02C7"/>
    <w:rsid w:val="003D03B6"/>
    <w:rsid w:val="003D05E1"/>
    <w:rsid w:val="003D09E5"/>
    <w:rsid w:val="003D156E"/>
    <w:rsid w:val="003D16F6"/>
    <w:rsid w:val="003D2CB3"/>
    <w:rsid w:val="003D42E9"/>
    <w:rsid w:val="003D451A"/>
    <w:rsid w:val="003D4A98"/>
    <w:rsid w:val="003D4EE5"/>
    <w:rsid w:val="003D727F"/>
    <w:rsid w:val="003D76A1"/>
    <w:rsid w:val="003D7E49"/>
    <w:rsid w:val="003E0139"/>
    <w:rsid w:val="003E0230"/>
    <w:rsid w:val="003E0F74"/>
    <w:rsid w:val="003E16BE"/>
    <w:rsid w:val="003E220D"/>
    <w:rsid w:val="003E268F"/>
    <w:rsid w:val="003E3926"/>
    <w:rsid w:val="003E4BC7"/>
    <w:rsid w:val="003E53C9"/>
    <w:rsid w:val="003E57B6"/>
    <w:rsid w:val="003E583F"/>
    <w:rsid w:val="003E5ADC"/>
    <w:rsid w:val="003E5D83"/>
    <w:rsid w:val="003E66B2"/>
    <w:rsid w:val="003E66D6"/>
    <w:rsid w:val="003F020A"/>
    <w:rsid w:val="003F04F0"/>
    <w:rsid w:val="003F09B9"/>
    <w:rsid w:val="003F0DD7"/>
    <w:rsid w:val="003F0DFA"/>
    <w:rsid w:val="003F0E6C"/>
    <w:rsid w:val="003F26AD"/>
    <w:rsid w:val="003F2B60"/>
    <w:rsid w:val="003F362E"/>
    <w:rsid w:val="003F3D86"/>
    <w:rsid w:val="003F3F0D"/>
    <w:rsid w:val="003F659D"/>
    <w:rsid w:val="003F6994"/>
    <w:rsid w:val="003F7886"/>
    <w:rsid w:val="00401855"/>
    <w:rsid w:val="00401F0F"/>
    <w:rsid w:val="00402AC6"/>
    <w:rsid w:val="00403354"/>
    <w:rsid w:val="00403835"/>
    <w:rsid w:val="00405187"/>
    <w:rsid w:val="00406625"/>
    <w:rsid w:val="004068B1"/>
    <w:rsid w:val="0040715F"/>
    <w:rsid w:val="004073AD"/>
    <w:rsid w:val="004101AE"/>
    <w:rsid w:val="004115D6"/>
    <w:rsid w:val="004117E5"/>
    <w:rsid w:val="004123FF"/>
    <w:rsid w:val="004126A1"/>
    <w:rsid w:val="00413D76"/>
    <w:rsid w:val="004142E6"/>
    <w:rsid w:val="00415BA7"/>
    <w:rsid w:val="0041636A"/>
    <w:rsid w:val="004163C9"/>
    <w:rsid w:val="004174F0"/>
    <w:rsid w:val="00417B20"/>
    <w:rsid w:val="00420143"/>
    <w:rsid w:val="00421139"/>
    <w:rsid w:val="0042142B"/>
    <w:rsid w:val="0042182D"/>
    <w:rsid w:val="00423720"/>
    <w:rsid w:val="00425283"/>
    <w:rsid w:val="004254AB"/>
    <w:rsid w:val="0042664D"/>
    <w:rsid w:val="004272D4"/>
    <w:rsid w:val="00427F1B"/>
    <w:rsid w:val="0043018E"/>
    <w:rsid w:val="00431165"/>
    <w:rsid w:val="00431659"/>
    <w:rsid w:val="00433346"/>
    <w:rsid w:val="0043472E"/>
    <w:rsid w:val="00436A8A"/>
    <w:rsid w:val="004375A9"/>
    <w:rsid w:val="00437EA0"/>
    <w:rsid w:val="0044252C"/>
    <w:rsid w:val="00442BA6"/>
    <w:rsid w:val="00443E17"/>
    <w:rsid w:val="004446E6"/>
    <w:rsid w:val="00444752"/>
    <w:rsid w:val="00445FFD"/>
    <w:rsid w:val="004479B2"/>
    <w:rsid w:val="004505F0"/>
    <w:rsid w:val="00450806"/>
    <w:rsid w:val="004514F9"/>
    <w:rsid w:val="004579C7"/>
    <w:rsid w:val="00460B67"/>
    <w:rsid w:val="00461BA4"/>
    <w:rsid w:val="0046217F"/>
    <w:rsid w:val="00462FD4"/>
    <w:rsid w:val="00463001"/>
    <w:rsid w:val="004639F6"/>
    <w:rsid w:val="00464919"/>
    <w:rsid w:val="00464A2A"/>
    <w:rsid w:val="00465BAB"/>
    <w:rsid w:val="00465E8E"/>
    <w:rsid w:val="00466461"/>
    <w:rsid w:val="004666D8"/>
    <w:rsid w:val="004668B3"/>
    <w:rsid w:val="00467084"/>
    <w:rsid w:val="00467512"/>
    <w:rsid w:val="00470F71"/>
    <w:rsid w:val="004723AF"/>
    <w:rsid w:val="0047262F"/>
    <w:rsid w:val="004726AC"/>
    <w:rsid w:val="00473332"/>
    <w:rsid w:val="004752A4"/>
    <w:rsid w:val="00475FEC"/>
    <w:rsid w:val="00480006"/>
    <w:rsid w:val="00480968"/>
    <w:rsid w:val="00481164"/>
    <w:rsid w:val="00481706"/>
    <w:rsid w:val="00481C59"/>
    <w:rsid w:val="00484370"/>
    <w:rsid w:val="004859D2"/>
    <w:rsid w:val="00486234"/>
    <w:rsid w:val="00487950"/>
    <w:rsid w:val="00487AB2"/>
    <w:rsid w:val="00490AC3"/>
    <w:rsid w:val="00492678"/>
    <w:rsid w:val="004947AF"/>
    <w:rsid w:val="00494B67"/>
    <w:rsid w:val="00494EAD"/>
    <w:rsid w:val="00496A8E"/>
    <w:rsid w:val="00496BAE"/>
    <w:rsid w:val="00496FC0"/>
    <w:rsid w:val="004970E8"/>
    <w:rsid w:val="004A1BBC"/>
    <w:rsid w:val="004A20A5"/>
    <w:rsid w:val="004A40BF"/>
    <w:rsid w:val="004A4B8F"/>
    <w:rsid w:val="004A6AF2"/>
    <w:rsid w:val="004A78EC"/>
    <w:rsid w:val="004A7ACC"/>
    <w:rsid w:val="004A7EBC"/>
    <w:rsid w:val="004B12F0"/>
    <w:rsid w:val="004B2DB4"/>
    <w:rsid w:val="004B43ED"/>
    <w:rsid w:val="004B49CF"/>
    <w:rsid w:val="004B526E"/>
    <w:rsid w:val="004B54B3"/>
    <w:rsid w:val="004B5B8F"/>
    <w:rsid w:val="004B66C4"/>
    <w:rsid w:val="004B6788"/>
    <w:rsid w:val="004B6F48"/>
    <w:rsid w:val="004C0DAF"/>
    <w:rsid w:val="004C12E1"/>
    <w:rsid w:val="004C36C2"/>
    <w:rsid w:val="004C3E6C"/>
    <w:rsid w:val="004C41AE"/>
    <w:rsid w:val="004C5578"/>
    <w:rsid w:val="004C57F8"/>
    <w:rsid w:val="004C5916"/>
    <w:rsid w:val="004C724B"/>
    <w:rsid w:val="004C73A3"/>
    <w:rsid w:val="004C74CF"/>
    <w:rsid w:val="004D01AA"/>
    <w:rsid w:val="004D0C6B"/>
    <w:rsid w:val="004D1BA1"/>
    <w:rsid w:val="004D1ECA"/>
    <w:rsid w:val="004D2101"/>
    <w:rsid w:val="004D2F49"/>
    <w:rsid w:val="004D3578"/>
    <w:rsid w:val="004D380D"/>
    <w:rsid w:val="004D3D95"/>
    <w:rsid w:val="004D49CB"/>
    <w:rsid w:val="004D54DE"/>
    <w:rsid w:val="004D6ED8"/>
    <w:rsid w:val="004D7021"/>
    <w:rsid w:val="004D74CD"/>
    <w:rsid w:val="004D74D9"/>
    <w:rsid w:val="004D7F47"/>
    <w:rsid w:val="004E0C51"/>
    <w:rsid w:val="004E1955"/>
    <w:rsid w:val="004E213A"/>
    <w:rsid w:val="004E28A5"/>
    <w:rsid w:val="004E664E"/>
    <w:rsid w:val="004E7997"/>
    <w:rsid w:val="004E7A00"/>
    <w:rsid w:val="004F0145"/>
    <w:rsid w:val="004F0A4A"/>
    <w:rsid w:val="004F147B"/>
    <w:rsid w:val="004F1B24"/>
    <w:rsid w:val="004F22E6"/>
    <w:rsid w:val="004F3CE7"/>
    <w:rsid w:val="004F503D"/>
    <w:rsid w:val="004F66B9"/>
    <w:rsid w:val="004F683D"/>
    <w:rsid w:val="004F7CE0"/>
    <w:rsid w:val="00500315"/>
    <w:rsid w:val="005003DB"/>
    <w:rsid w:val="00500743"/>
    <w:rsid w:val="00501502"/>
    <w:rsid w:val="00503171"/>
    <w:rsid w:val="0050360D"/>
    <w:rsid w:val="005044E1"/>
    <w:rsid w:val="00504745"/>
    <w:rsid w:val="00505944"/>
    <w:rsid w:val="00505D47"/>
    <w:rsid w:val="00505EAB"/>
    <w:rsid w:val="00510C6C"/>
    <w:rsid w:val="00512875"/>
    <w:rsid w:val="0051295B"/>
    <w:rsid w:val="0051348F"/>
    <w:rsid w:val="005137A9"/>
    <w:rsid w:val="005146D5"/>
    <w:rsid w:val="00514E4E"/>
    <w:rsid w:val="00515523"/>
    <w:rsid w:val="00515848"/>
    <w:rsid w:val="00516283"/>
    <w:rsid w:val="005168B6"/>
    <w:rsid w:val="005169D9"/>
    <w:rsid w:val="00516BA0"/>
    <w:rsid w:val="00521461"/>
    <w:rsid w:val="00523D6F"/>
    <w:rsid w:val="005243F4"/>
    <w:rsid w:val="0052553D"/>
    <w:rsid w:val="00525BA7"/>
    <w:rsid w:val="00525F38"/>
    <w:rsid w:val="005268C9"/>
    <w:rsid w:val="005269B8"/>
    <w:rsid w:val="00527F2F"/>
    <w:rsid w:val="005315F7"/>
    <w:rsid w:val="0053192E"/>
    <w:rsid w:val="005324A9"/>
    <w:rsid w:val="00533709"/>
    <w:rsid w:val="00534761"/>
    <w:rsid w:val="00534A60"/>
    <w:rsid w:val="00535EB5"/>
    <w:rsid w:val="00536B2B"/>
    <w:rsid w:val="00537881"/>
    <w:rsid w:val="00537978"/>
    <w:rsid w:val="00540679"/>
    <w:rsid w:val="00541DCD"/>
    <w:rsid w:val="00542C31"/>
    <w:rsid w:val="005435B4"/>
    <w:rsid w:val="00543E6C"/>
    <w:rsid w:val="005444FF"/>
    <w:rsid w:val="00545137"/>
    <w:rsid w:val="00545F66"/>
    <w:rsid w:val="0054781E"/>
    <w:rsid w:val="00550376"/>
    <w:rsid w:val="005507D9"/>
    <w:rsid w:val="00550A24"/>
    <w:rsid w:val="00550D2E"/>
    <w:rsid w:val="00551625"/>
    <w:rsid w:val="005520D2"/>
    <w:rsid w:val="00553146"/>
    <w:rsid w:val="00553D4E"/>
    <w:rsid w:val="00556744"/>
    <w:rsid w:val="00556F47"/>
    <w:rsid w:val="005570FB"/>
    <w:rsid w:val="0055789F"/>
    <w:rsid w:val="005601B2"/>
    <w:rsid w:val="0056136B"/>
    <w:rsid w:val="005624F2"/>
    <w:rsid w:val="00563155"/>
    <w:rsid w:val="00563487"/>
    <w:rsid w:val="00563755"/>
    <w:rsid w:val="005644B2"/>
    <w:rsid w:val="00565087"/>
    <w:rsid w:val="0056573F"/>
    <w:rsid w:val="00565A91"/>
    <w:rsid w:val="00565BAC"/>
    <w:rsid w:val="00570DFE"/>
    <w:rsid w:val="00571022"/>
    <w:rsid w:val="005710DB"/>
    <w:rsid w:val="0057155E"/>
    <w:rsid w:val="005715B0"/>
    <w:rsid w:val="005716F1"/>
    <w:rsid w:val="00572317"/>
    <w:rsid w:val="0057251D"/>
    <w:rsid w:val="00572A95"/>
    <w:rsid w:val="00573511"/>
    <w:rsid w:val="00576B02"/>
    <w:rsid w:val="00576EEC"/>
    <w:rsid w:val="0057704A"/>
    <w:rsid w:val="00577A02"/>
    <w:rsid w:val="0058305F"/>
    <w:rsid w:val="00583329"/>
    <w:rsid w:val="00583AB6"/>
    <w:rsid w:val="00583BB1"/>
    <w:rsid w:val="00583CAA"/>
    <w:rsid w:val="00583D7B"/>
    <w:rsid w:val="005840B6"/>
    <w:rsid w:val="005844E8"/>
    <w:rsid w:val="0058550F"/>
    <w:rsid w:val="00585ADE"/>
    <w:rsid w:val="0059006C"/>
    <w:rsid w:val="00590D7B"/>
    <w:rsid w:val="00593843"/>
    <w:rsid w:val="00594A29"/>
    <w:rsid w:val="00595ED3"/>
    <w:rsid w:val="005970DC"/>
    <w:rsid w:val="00597CCD"/>
    <w:rsid w:val="005A10EC"/>
    <w:rsid w:val="005A1360"/>
    <w:rsid w:val="005A1616"/>
    <w:rsid w:val="005A3C64"/>
    <w:rsid w:val="005A53FD"/>
    <w:rsid w:val="005A549B"/>
    <w:rsid w:val="005A5C68"/>
    <w:rsid w:val="005A63E2"/>
    <w:rsid w:val="005A79D1"/>
    <w:rsid w:val="005B13E5"/>
    <w:rsid w:val="005B1597"/>
    <w:rsid w:val="005B1C42"/>
    <w:rsid w:val="005B3B58"/>
    <w:rsid w:val="005B5454"/>
    <w:rsid w:val="005B65DB"/>
    <w:rsid w:val="005B6846"/>
    <w:rsid w:val="005B72B0"/>
    <w:rsid w:val="005B7331"/>
    <w:rsid w:val="005B76FB"/>
    <w:rsid w:val="005B7762"/>
    <w:rsid w:val="005B78F8"/>
    <w:rsid w:val="005C0564"/>
    <w:rsid w:val="005C0AE1"/>
    <w:rsid w:val="005C15A6"/>
    <w:rsid w:val="005C226B"/>
    <w:rsid w:val="005C48AD"/>
    <w:rsid w:val="005C5A9A"/>
    <w:rsid w:val="005C6697"/>
    <w:rsid w:val="005C6875"/>
    <w:rsid w:val="005C6927"/>
    <w:rsid w:val="005C7600"/>
    <w:rsid w:val="005D0F35"/>
    <w:rsid w:val="005D1268"/>
    <w:rsid w:val="005D213F"/>
    <w:rsid w:val="005D2490"/>
    <w:rsid w:val="005D3CD7"/>
    <w:rsid w:val="005D42FD"/>
    <w:rsid w:val="005D4713"/>
    <w:rsid w:val="005D578C"/>
    <w:rsid w:val="005D6FC0"/>
    <w:rsid w:val="005E0152"/>
    <w:rsid w:val="005E077A"/>
    <w:rsid w:val="005E30CD"/>
    <w:rsid w:val="005E3106"/>
    <w:rsid w:val="005E3455"/>
    <w:rsid w:val="005E3473"/>
    <w:rsid w:val="005E3B23"/>
    <w:rsid w:val="005E64E1"/>
    <w:rsid w:val="005E74DA"/>
    <w:rsid w:val="005F0414"/>
    <w:rsid w:val="005F2D38"/>
    <w:rsid w:val="005F5489"/>
    <w:rsid w:val="005F5B63"/>
    <w:rsid w:val="005F5C42"/>
    <w:rsid w:val="005F5E36"/>
    <w:rsid w:val="005F5EB6"/>
    <w:rsid w:val="005F6333"/>
    <w:rsid w:val="005F64FA"/>
    <w:rsid w:val="005F651E"/>
    <w:rsid w:val="005F6D32"/>
    <w:rsid w:val="005F6F3B"/>
    <w:rsid w:val="005F7721"/>
    <w:rsid w:val="005F7BBB"/>
    <w:rsid w:val="006037F6"/>
    <w:rsid w:val="00603DAE"/>
    <w:rsid w:val="00604225"/>
    <w:rsid w:val="0060429E"/>
    <w:rsid w:val="00604D14"/>
    <w:rsid w:val="00605756"/>
    <w:rsid w:val="00610DD1"/>
    <w:rsid w:val="00611566"/>
    <w:rsid w:val="00611CCB"/>
    <w:rsid w:val="006131A7"/>
    <w:rsid w:val="006169D7"/>
    <w:rsid w:val="00617439"/>
    <w:rsid w:val="00617C02"/>
    <w:rsid w:val="0062068C"/>
    <w:rsid w:val="006210CF"/>
    <w:rsid w:val="00621232"/>
    <w:rsid w:val="00621492"/>
    <w:rsid w:val="006219D6"/>
    <w:rsid w:val="00621EC0"/>
    <w:rsid w:val="00623BE2"/>
    <w:rsid w:val="0062441F"/>
    <w:rsid w:val="00625EF2"/>
    <w:rsid w:val="006270F9"/>
    <w:rsid w:val="00627424"/>
    <w:rsid w:val="006276E6"/>
    <w:rsid w:val="00627BA0"/>
    <w:rsid w:val="006325F2"/>
    <w:rsid w:val="00632971"/>
    <w:rsid w:val="006346B7"/>
    <w:rsid w:val="006349BE"/>
    <w:rsid w:val="00635675"/>
    <w:rsid w:val="00635C47"/>
    <w:rsid w:val="00635C8C"/>
    <w:rsid w:val="00640B46"/>
    <w:rsid w:val="00641BF1"/>
    <w:rsid w:val="00641E8C"/>
    <w:rsid w:val="006421D3"/>
    <w:rsid w:val="0064270F"/>
    <w:rsid w:val="006429B6"/>
    <w:rsid w:val="006429CE"/>
    <w:rsid w:val="00642EB9"/>
    <w:rsid w:val="00643906"/>
    <w:rsid w:val="006439CB"/>
    <w:rsid w:val="00644EF7"/>
    <w:rsid w:val="00646A1D"/>
    <w:rsid w:val="00647CFB"/>
    <w:rsid w:val="00651997"/>
    <w:rsid w:val="00651E1E"/>
    <w:rsid w:val="00652159"/>
    <w:rsid w:val="0065258E"/>
    <w:rsid w:val="006530E6"/>
    <w:rsid w:val="00654334"/>
    <w:rsid w:val="00656E12"/>
    <w:rsid w:val="00657652"/>
    <w:rsid w:val="00662739"/>
    <w:rsid w:val="00662D16"/>
    <w:rsid w:val="00663232"/>
    <w:rsid w:val="00663FA1"/>
    <w:rsid w:val="00664958"/>
    <w:rsid w:val="00664DC4"/>
    <w:rsid w:val="00665BE3"/>
    <w:rsid w:val="006664CA"/>
    <w:rsid w:val="006671F5"/>
    <w:rsid w:val="006672D3"/>
    <w:rsid w:val="00670D17"/>
    <w:rsid w:val="00671593"/>
    <w:rsid w:val="00671FF7"/>
    <w:rsid w:val="00672DD3"/>
    <w:rsid w:val="00673877"/>
    <w:rsid w:val="00673DA5"/>
    <w:rsid w:val="00674A37"/>
    <w:rsid w:val="00675333"/>
    <w:rsid w:val="0067539E"/>
    <w:rsid w:val="00675FB3"/>
    <w:rsid w:val="00676CEA"/>
    <w:rsid w:val="006778DA"/>
    <w:rsid w:val="00677E9A"/>
    <w:rsid w:val="006803A9"/>
    <w:rsid w:val="00680B47"/>
    <w:rsid w:val="00680F27"/>
    <w:rsid w:val="00682D7E"/>
    <w:rsid w:val="00682DB1"/>
    <w:rsid w:val="00683A02"/>
    <w:rsid w:val="00684883"/>
    <w:rsid w:val="0068695A"/>
    <w:rsid w:val="00686A67"/>
    <w:rsid w:val="00687F04"/>
    <w:rsid w:val="00690C94"/>
    <w:rsid w:val="00691876"/>
    <w:rsid w:val="00692CFD"/>
    <w:rsid w:val="0069304B"/>
    <w:rsid w:val="00693169"/>
    <w:rsid w:val="00694561"/>
    <w:rsid w:val="00695A42"/>
    <w:rsid w:val="00695AD3"/>
    <w:rsid w:val="00695FE2"/>
    <w:rsid w:val="00696FF3"/>
    <w:rsid w:val="00697F47"/>
    <w:rsid w:val="006A00F0"/>
    <w:rsid w:val="006A03FE"/>
    <w:rsid w:val="006A14FF"/>
    <w:rsid w:val="006A16B1"/>
    <w:rsid w:val="006A1844"/>
    <w:rsid w:val="006A1ACF"/>
    <w:rsid w:val="006A20CA"/>
    <w:rsid w:val="006A3000"/>
    <w:rsid w:val="006A3311"/>
    <w:rsid w:val="006A4E47"/>
    <w:rsid w:val="006A6E99"/>
    <w:rsid w:val="006A7246"/>
    <w:rsid w:val="006A7254"/>
    <w:rsid w:val="006B2E32"/>
    <w:rsid w:val="006B3511"/>
    <w:rsid w:val="006B4C7C"/>
    <w:rsid w:val="006B5A30"/>
    <w:rsid w:val="006B5D30"/>
    <w:rsid w:val="006B6292"/>
    <w:rsid w:val="006B6D42"/>
    <w:rsid w:val="006C0D25"/>
    <w:rsid w:val="006C20F8"/>
    <w:rsid w:val="006C304D"/>
    <w:rsid w:val="006C3D14"/>
    <w:rsid w:val="006C4159"/>
    <w:rsid w:val="006C4539"/>
    <w:rsid w:val="006C4C16"/>
    <w:rsid w:val="006C4D4B"/>
    <w:rsid w:val="006C53EC"/>
    <w:rsid w:val="006C60D8"/>
    <w:rsid w:val="006C6D6C"/>
    <w:rsid w:val="006C7EC2"/>
    <w:rsid w:val="006D090D"/>
    <w:rsid w:val="006D123C"/>
    <w:rsid w:val="006D1CDD"/>
    <w:rsid w:val="006D1E24"/>
    <w:rsid w:val="006D22F1"/>
    <w:rsid w:val="006D24EA"/>
    <w:rsid w:val="006D278F"/>
    <w:rsid w:val="006D3682"/>
    <w:rsid w:val="006D56DB"/>
    <w:rsid w:val="006D5A2B"/>
    <w:rsid w:val="006D5CCE"/>
    <w:rsid w:val="006D65D6"/>
    <w:rsid w:val="006D676E"/>
    <w:rsid w:val="006E029A"/>
    <w:rsid w:val="006E1B41"/>
    <w:rsid w:val="006E2738"/>
    <w:rsid w:val="006E2C98"/>
    <w:rsid w:val="006E44E6"/>
    <w:rsid w:val="006E5340"/>
    <w:rsid w:val="006E5508"/>
    <w:rsid w:val="006E6D87"/>
    <w:rsid w:val="006E6DF4"/>
    <w:rsid w:val="006E7256"/>
    <w:rsid w:val="006E77BE"/>
    <w:rsid w:val="006F0079"/>
    <w:rsid w:val="006F0A23"/>
    <w:rsid w:val="006F32D0"/>
    <w:rsid w:val="006F3F50"/>
    <w:rsid w:val="006F6972"/>
    <w:rsid w:val="006F755D"/>
    <w:rsid w:val="007016A1"/>
    <w:rsid w:val="007024ED"/>
    <w:rsid w:val="0070313F"/>
    <w:rsid w:val="007034E2"/>
    <w:rsid w:val="007057BE"/>
    <w:rsid w:val="00705CD9"/>
    <w:rsid w:val="00705DD8"/>
    <w:rsid w:val="00705E20"/>
    <w:rsid w:val="007071C5"/>
    <w:rsid w:val="007125CF"/>
    <w:rsid w:val="0071453C"/>
    <w:rsid w:val="007145EA"/>
    <w:rsid w:val="00715015"/>
    <w:rsid w:val="00715191"/>
    <w:rsid w:val="00716765"/>
    <w:rsid w:val="00716A6D"/>
    <w:rsid w:val="00716EB4"/>
    <w:rsid w:val="00717DAE"/>
    <w:rsid w:val="007200C0"/>
    <w:rsid w:val="007201E4"/>
    <w:rsid w:val="00720658"/>
    <w:rsid w:val="00720BD2"/>
    <w:rsid w:val="00721B21"/>
    <w:rsid w:val="00721C1E"/>
    <w:rsid w:val="00727957"/>
    <w:rsid w:val="00727D3A"/>
    <w:rsid w:val="00732EAF"/>
    <w:rsid w:val="00733BE5"/>
    <w:rsid w:val="00733F21"/>
    <w:rsid w:val="007344BE"/>
    <w:rsid w:val="00734A5B"/>
    <w:rsid w:val="0073556E"/>
    <w:rsid w:val="00735860"/>
    <w:rsid w:val="007366E0"/>
    <w:rsid w:val="00737D0B"/>
    <w:rsid w:val="007413A2"/>
    <w:rsid w:val="007418E3"/>
    <w:rsid w:val="00741D31"/>
    <w:rsid w:val="007428A8"/>
    <w:rsid w:val="00743279"/>
    <w:rsid w:val="00744E76"/>
    <w:rsid w:val="00747760"/>
    <w:rsid w:val="00750461"/>
    <w:rsid w:val="00750FC7"/>
    <w:rsid w:val="007516EE"/>
    <w:rsid w:val="0075366B"/>
    <w:rsid w:val="00753BB0"/>
    <w:rsid w:val="00754032"/>
    <w:rsid w:val="00754205"/>
    <w:rsid w:val="00754396"/>
    <w:rsid w:val="00756DFF"/>
    <w:rsid w:val="00757BF5"/>
    <w:rsid w:val="00757D40"/>
    <w:rsid w:val="00760928"/>
    <w:rsid w:val="00760A7B"/>
    <w:rsid w:val="00760C39"/>
    <w:rsid w:val="007617D6"/>
    <w:rsid w:val="00761EF7"/>
    <w:rsid w:val="00762792"/>
    <w:rsid w:val="00763C12"/>
    <w:rsid w:val="0076452A"/>
    <w:rsid w:val="007646F6"/>
    <w:rsid w:val="00764C72"/>
    <w:rsid w:val="00764ECE"/>
    <w:rsid w:val="00765129"/>
    <w:rsid w:val="00766319"/>
    <w:rsid w:val="00766720"/>
    <w:rsid w:val="00766CE8"/>
    <w:rsid w:val="00767383"/>
    <w:rsid w:val="0077001A"/>
    <w:rsid w:val="00770334"/>
    <w:rsid w:val="007703D6"/>
    <w:rsid w:val="00771398"/>
    <w:rsid w:val="0077179F"/>
    <w:rsid w:val="00771DAD"/>
    <w:rsid w:val="0077237E"/>
    <w:rsid w:val="00772E60"/>
    <w:rsid w:val="007734C5"/>
    <w:rsid w:val="00774E61"/>
    <w:rsid w:val="0077530C"/>
    <w:rsid w:val="007765CE"/>
    <w:rsid w:val="0077661C"/>
    <w:rsid w:val="00780824"/>
    <w:rsid w:val="00780D35"/>
    <w:rsid w:val="00781F0F"/>
    <w:rsid w:val="00782D14"/>
    <w:rsid w:val="00783720"/>
    <w:rsid w:val="007853B3"/>
    <w:rsid w:val="007864B8"/>
    <w:rsid w:val="007869F3"/>
    <w:rsid w:val="00786ECA"/>
    <w:rsid w:val="0078727C"/>
    <w:rsid w:val="00787585"/>
    <w:rsid w:val="00787E99"/>
    <w:rsid w:val="00790092"/>
    <w:rsid w:val="00790A64"/>
    <w:rsid w:val="00790EB4"/>
    <w:rsid w:val="0079186C"/>
    <w:rsid w:val="00793411"/>
    <w:rsid w:val="007934F7"/>
    <w:rsid w:val="00793634"/>
    <w:rsid w:val="007957E6"/>
    <w:rsid w:val="007962DB"/>
    <w:rsid w:val="00796312"/>
    <w:rsid w:val="007968C8"/>
    <w:rsid w:val="007969DC"/>
    <w:rsid w:val="00796EAB"/>
    <w:rsid w:val="00797904"/>
    <w:rsid w:val="00797DFB"/>
    <w:rsid w:val="007A0073"/>
    <w:rsid w:val="007A28D4"/>
    <w:rsid w:val="007A2A35"/>
    <w:rsid w:val="007A2E90"/>
    <w:rsid w:val="007A349A"/>
    <w:rsid w:val="007A3AFC"/>
    <w:rsid w:val="007A4518"/>
    <w:rsid w:val="007A496F"/>
    <w:rsid w:val="007A4D8A"/>
    <w:rsid w:val="007A5A2C"/>
    <w:rsid w:val="007A6582"/>
    <w:rsid w:val="007A69BF"/>
    <w:rsid w:val="007A6AE8"/>
    <w:rsid w:val="007A7ADC"/>
    <w:rsid w:val="007B25D8"/>
    <w:rsid w:val="007B33FF"/>
    <w:rsid w:val="007B383B"/>
    <w:rsid w:val="007B39A5"/>
    <w:rsid w:val="007B3DFF"/>
    <w:rsid w:val="007B55B0"/>
    <w:rsid w:val="007B60FC"/>
    <w:rsid w:val="007B73B7"/>
    <w:rsid w:val="007B73BB"/>
    <w:rsid w:val="007B7578"/>
    <w:rsid w:val="007B779D"/>
    <w:rsid w:val="007B7ECF"/>
    <w:rsid w:val="007C095F"/>
    <w:rsid w:val="007C0E62"/>
    <w:rsid w:val="007C0F8F"/>
    <w:rsid w:val="007C1D88"/>
    <w:rsid w:val="007C288E"/>
    <w:rsid w:val="007C2D08"/>
    <w:rsid w:val="007C35C8"/>
    <w:rsid w:val="007C3D6D"/>
    <w:rsid w:val="007C45B8"/>
    <w:rsid w:val="007C4B56"/>
    <w:rsid w:val="007C4EF6"/>
    <w:rsid w:val="007C55ED"/>
    <w:rsid w:val="007C620A"/>
    <w:rsid w:val="007C626F"/>
    <w:rsid w:val="007C6827"/>
    <w:rsid w:val="007C6C5B"/>
    <w:rsid w:val="007C7615"/>
    <w:rsid w:val="007D07BB"/>
    <w:rsid w:val="007D08A7"/>
    <w:rsid w:val="007D1D68"/>
    <w:rsid w:val="007D1F06"/>
    <w:rsid w:val="007D2A38"/>
    <w:rsid w:val="007D6545"/>
    <w:rsid w:val="007D6686"/>
    <w:rsid w:val="007D79B5"/>
    <w:rsid w:val="007D7AE7"/>
    <w:rsid w:val="007D7B7E"/>
    <w:rsid w:val="007E0F66"/>
    <w:rsid w:val="007E1DF8"/>
    <w:rsid w:val="007E1F2A"/>
    <w:rsid w:val="007E29E2"/>
    <w:rsid w:val="007E2C01"/>
    <w:rsid w:val="007E3497"/>
    <w:rsid w:val="007E4870"/>
    <w:rsid w:val="007E56CB"/>
    <w:rsid w:val="007E574B"/>
    <w:rsid w:val="007E6798"/>
    <w:rsid w:val="007E6EF7"/>
    <w:rsid w:val="007E78BA"/>
    <w:rsid w:val="007F1ACC"/>
    <w:rsid w:val="007F307E"/>
    <w:rsid w:val="007F4588"/>
    <w:rsid w:val="007F5ED1"/>
    <w:rsid w:val="007F5FF1"/>
    <w:rsid w:val="007F631C"/>
    <w:rsid w:val="007F7574"/>
    <w:rsid w:val="0080054E"/>
    <w:rsid w:val="00800BE7"/>
    <w:rsid w:val="00801906"/>
    <w:rsid w:val="00802397"/>
    <w:rsid w:val="00802839"/>
    <w:rsid w:val="008028A4"/>
    <w:rsid w:val="00804A03"/>
    <w:rsid w:val="00804D44"/>
    <w:rsid w:val="00805A44"/>
    <w:rsid w:val="00805D52"/>
    <w:rsid w:val="00805DF9"/>
    <w:rsid w:val="0080674D"/>
    <w:rsid w:val="008072F8"/>
    <w:rsid w:val="008075D6"/>
    <w:rsid w:val="00807CC5"/>
    <w:rsid w:val="0081100D"/>
    <w:rsid w:val="008125F2"/>
    <w:rsid w:val="0081268C"/>
    <w:rsid w:val="00812E4E"/>
    <w:rsid w:val="008132B0"/>
    <w:rsid w:val="00813460"/>
    <w:rsid w:val="00813A6E"/>
    <w:rsid w:val="008145B1"/>
    <w:rsid w:val="00815DEF"/>
    <w:rsid w:val="00820335"/>
    <w:rsid w:val="008215B3"/>
    <w:rsid w:val="0082579B"/>
    <w:rsid w:val="00825EE0"/>
    <w:rsid w:val="00827012"/>
    <w:rsid w:val="00827097"/>
    <w:rsid w:val="008276E5"/>
    <w:rsid w:val="00832784"/>
    <w:rsid w:val="00833A28"/>
    <w:rsid w:val="008352DD"/>
    <w:rsid w:val="00835EAD"/>
    <w:rsid w:val="0083635E"/>
    <w:rsid w:val="008377D0"/>
    <w:rsid w:val="00840188"/>
    <w:rsid w:val="008407A9"/>
    <w:rsid w:val="008420B9"/>
    <w:rsid w:val="00843A7A"/>
    <w:rsid w:val="008441A4"/>
    <w:rsid w:val="008445CF"/>
    <w:rsid w:val="008447AF"/>
    <w:rsid w:val="008449C2"/>
    <w:rsid w:val="00845B18"/>
    <w:rsid w:val="0084772D"/>
    <w:rsid w:val="00847D59"/>
    <w:rsid w:val="008504AF"/>
    <w:rsid w:val="00850E69"/>
    <w:rsid w:val="00851A34"/>
    <w:rsid w:val="0085366C"/>
    <w:rsid w:val="00853EF1"/>
    <w:rsid w:val="00853F74"/>
    <w:rsid w:val="008548CE"/>
    <w:rsid w:val="00854E8D"/>
    <w:rsid w:val="00855E15"/>
    <w:rsid w:val="00856EF3"/>
    <w:rsid w:val="008602D3"/>
    <w:rsid w:val="00860A59"/>
    <w:rsid w:val="00861EF5"/>
    <w:rsid w:val="0086236F"/>
    <w:rsid w:val="0086417E"/>
    <w:rsid w:val="008643B1"/>
    <w:rsid w:val="00864455"/>
    <w:rsid w:val="0086675C"/>
    <w:rsid w:val="00866BB5"/>
    <w:rsid w:val="00866E06"/>
    <w:rsid w:val="00870283"/>
    <w:rsid w:val="0087045D"/>
    <w:rsid w:val="00871A04"/>
    <w:rsid w:val="00872624"/>
    <w:rsid w:val="00874676"/>
    <w:rsid w:val="008752C2"/>
    <w:rsid w:val="00875782"/>
    <w:rsid w:val="008768CA"/>
    <w:rsid w:val="0087776C"/>
    <w:rsid w:val="00877C0F"/>
    <w:rsid w:val="00877C65"/>
    <w:rsid w:val="008802F1"/>
    <w:rsid w:val="0088031C"/>
    <w:rsid w:val="00880559"/>
    <w:rsid w:val="0088144D"/>
    <w:rsid w:val="00881E0D"/>
    <w:rsid w:val="00883EEA"/>
    <w:rsid w:val="00884B3C"/>
    <w:rsid w:val="00885631"/>
    <w:rsid w:val="0088587C"/>
    <w:rsid w:val="00885E6F"/>
    <w:rsid w:val="00890EBD"/>
    <w:rsid w:val="008916CE"/>
    <w:rsid w:val="0089247B"/>
    <w:rsid w:val="0089355D"/>
    <w:rsid w:val="00893C5C"/>
    <w:rsid w:val="0089567F"/>
    <w:rsid w:val="00896120"/>
    <w:rsid w:val="0089755E"/>
    <w:rsid w:val="008A084D"/>
    <w:rsid w:val="008A08E5"/>
    <w:rsid w:val="008A0F29"/>
    <w:rsid w:val="008A1000"/>
    <w:rsid w:val="008A15F7"/>
    <w:rsid w:val="008A1B51"/>
    <w:rsid w:val="008A3366"/>
    <w:rsid w:val="008A3EE6"/>
    <w:rsid w:val="008A66C0"/>
    <w:rsid w:val="008A6ABF"/>
    <w:rsid w:val="008B05C4"/>
    <w:rsid w:val="008B0A61"/>
    <w:rsid w:val="008B0A62"/>
    <w:rsid w:val="008B0F46"/>
    <w:rsid w:val="008B14C8"/>
    <w:rsid w:val="008B15E4"/>
    <w:rsid w:val="008B230B"/>
    <w:rsid w:val="008B3387"/>
    <w:rsid w:val="008B3D5F"/>
    <w:rsid w:val="008B4B98"/>
    <w:rsid w:val="008B4DCA"/>
    <w:rsid w:val="008B4F8A"/>
    <w:rsid w:val="008B52AD"/>
    <w:rsid w:val="008B584B"/>
    <w:rsid w:val="008B7478"/>
    <w:rsid w:val="008B7D86"/>
    <w:rsid w:val="008C1807"/>
    <w:rsid w:val="008C2124"/>
    <w:rsid w:val="008C244E"/>
    <w:rsid w:val="008C2532"/>
    <w:rsid w:val="008C2813"/>
    <w:rsid w:val="008C4A9F"/>
    <w:rsid w:val="008C5103"/>
    <w:rsid w:val="008C63EF"/>
    <w:rsid w:val="008C66F6"/>
    <w:rsid w:val="008C77AA"/>
    <w:rsid w:val="008D0C27"/>
    <w:rsid w:val="008D0FA8"/>
    <w:rsid w:val="008D2E9F"/>
    <w:rsid w:val="008D348D"/>
    <w:rsid w:val="008D38CD"/>
    <w:rsid w:val="008D3E9D"/>
    <w:rsid w:val="008D3EE5"/>
    <w:rsid w:val="008D53B4"/>
    <w:rsid w:val="008D5D2C"/>
    <w:rsid w:val="008D62AA"/>
    <w:rsid w:val="008D6715"/>
    <w:rsid w:val="008E00BB"/>
    <w:rsid w:val="008E0B40"/>
    <w:rsid w:val="008E229B"/>
    <w:rsid w:val="008E2905"/>
    <w:rsid w:val="008E35E3"/>
    <w:rsid w:val="008E365C"/>
    <w:rsid w:val="008E457A"/>
    <w:rsid w:val="008E472F"/>
    <w:rsid w:val="008E5066"/>
    <w:rsid w:val="008E5D85"/>
    <w:rsid w:val="008E606A"/>
    <w:rsid w:val="008E73E6"/>
    <w:rsid w:val="008E79EE"/>
    <w:rsid w:val="008E7D83"/>
    <w:rsid w:val="008F1C80"/>
    <w:rsid w:val="008F238B"/>
    <w:rsid w:val="008F3303"/>
    <w:rsid w:val="008F3315"/>
    <w:rsid w:val="008F337D"/>
    <w:rsid w:val="008F373D"/>
    <w:rsid w:val="008F43A7"/>
    <w:rsid w:val="008F6882"/>
    <w:rsid w:val="008F6EAA"/>
    <w:rsid w:val="008F749F"/>
    <w:rsid w:val="008F7E0C"/>
    <w:rsid w:val="009005B7"/>
    <w:rsid w:val="00900B11"/>
    <w:rsid w:val="00900E25"/>
    <w:rsid w:val="00900E81"/>
    <w:rsid w:val="009016F7"/>
    <w:rsid w:val="0090271F"/>
    <w:rsid w:val="00902F91"/>
    <w:rsid w:val="009030B6"/>
    <w:rsid w:val="009030EF"/>
    <w:rsid w:val="00903E2A"/>
    <w:rsid w:val="0090442B"/>
    <w:rsid w:val="00905E38"/>
    <w:rsid w:val="00906106"/>
    <w:rsid w:val="00906201"/>
    <w:rsid w:val="00906447"/>
    <w:rsid w:val="00907479"/>
    <w:rsid w:val="00910415"/>
    <w:rsid w:val="0091302F"/>
    <w:rsid w:val="00916150"/>
    <w:rsid w:val="00916C24"/>
    <w:rsid w:val="009177A9"/>
    <w:rsid w:val="0092023F"/>
    <w:rsid w:val="00920A73"/>
    <w:rsid w:val="0092141F"/>
    <w:rsid w:val="009223B2"/>
    <w:rsid w:val="00923D5A"/>
    <w:rsid w:val="00923F6E"/>
    <w:rsid w:val="00924F24"/>
    <w:rsid w:val="00925DDA"/>
    <w:rsid w:val="00925F55"/>
    <w:rsid w:val="00926D79"/>
    <w:rsid w:val="00927687"/>
    <w:rsid w:val="0093166B"/>
    <w:rsid w:val="00932033"/>
    <w:rsid w:val="00932079"/>
    <w:rsid w:val="0093289A"/>
    <w:rsid w:val="00932F93"/>
    <w:rsid w:val="00933F02"/>
    <w:rsid w:val="00934732"/>
    <w:rsid w:val="00934884"/>
    <w:rsid w:val="00934B6B"/>
    <w:rsid w:val="00935668"/>
    <w:rsid w:val="00935BAD"/>
    <w:rsid w:val="0093647A"/>
    <w:rsid w:val="00936C92"/>
    <w:rsid w:val="00936CFC"/>
    <w:rsid w:val="009376E6"/>
    <w:rsid w:val="00937C1A"/>
    <w:rsid w:val="00937C38"/>
    <w:rsid w:val="00941625"/>
    <w:rsid w:val="0094221C"/>
    <w:rsid w:val="00942DCD"/>
    <w:rsid w:val="00942EC2"/>
    <w:rsid w:val="00943450"/>
    <w:rsid w:val="00943A72"/>
    <w:rsid w:val="009452D7"/>
    <w:rsid w:val="00946DB9"/>
    <w:rsid w:val="009471E0"/>
    <w:rsid w:val="0094797B"/>
    <w:rsid w:val="009508BA"/>
    <w:rsid w:val="009524ED"/>
    <w:rsid w:val="00957929"/>
    <w:rsid w:val="00960738"/>
    <w:rsid w:val="00960C8E"/>
    <w:rsid w:val="00964277"/>
    <w:rsid w:val="00965694"/>
    <w:rsid w:val="00965EE1"/>
    <w:rsid w:val="009666FB"/>
    <w:rsid w:val="00966D57"/>
    <w:rsid w:val="009675EE"/>
    <w:rsid w:val="00967A6B"/>
    <w:rsid w:val="00971A5D"/>
    <w:rsid w:val="00971F09"/>
    <w:rsid w:val="009720FA"/>
    <w:rsid w:val="0097226B"/>
    <w:rsid w:val="009728A6"/>
    <w:rsid w:val="0097477A"/>
    <w:rsid w:val="00976CD7"/>
    <w:rsid w:val="0097741C"/>
    <w:rsid w:val="0097745E"/>
    <w:rsid w:val="00977568"/>
    <w:rsid w:val="009778FE"/>
    <w:rsid w:val="00977B9A"/>
    <w:rsid w:val="00980682"/>
    <w:rsid w:val="00980AE7"/>
    <w:rsid w:val="00982A16"/>
    <w:rsid w:val="00982A3A"/>
    <w:rsid w:val="00982B95"/>
    <w:rsid w:val="009839EA"/>
    <w:rsid w:val="00991193"/>
    <w:rsid w:val="00991F97"/>
    <w:rsid w:val="009920AE"/>
    <w:rsid w:val="00992DA1"/>
    <w:rsid w:val="00993075"/>
    <w:rsid w:val="00993129"/>
    <w:rsid w:val="009947F3"/>
    <w:rsid w:val="00994BF0"/>
    <w:rsid w:val="0099571B"/>
    <w:rsid w:val="00995B70"/>
    <w:rsid w:val="009969AF"/>
    <w:rsid w:val="00996B82"/>
    <w:rsid w:val="00997D91"/>
    <w:rsid w:val="009A080E"/>
    <w:rsid w:val="009A2784"/>
    <w:rsid w:val="009A3E2D"/>
    <w:rsid w:val="009A43D8"/>
    <w:rsid w:val="009A60AD"/>
    <w:rsid w:val="009A6203"/>
    <w:rsid w:val="009B0C84"/>
    <w:rsid w:val="009B149F"/>
    <w:rsid w:val="009B1EF1"/>
    <w:rsid w:val="009B33C7"/>
    <w:rsid w:val="009B37E2"/>
    <w:rsid w:val="009B4B70"/>
    <w:rsid w:val="009B57EA"/>
    <w:rsid w:val="009B5890"/>
    <w:rsid w:val="009B5B14"/>
    <w:rsid w:val="009B5E43"/>
    <w:rsid w:val="009B62DD"/>
    <w:rsid w:val="009B676E"/>
    <w:rsid w:val="009B6EAD"/>
    <w:rsid w:val="009B78D4"/>
    <w:rsid w:val="009C00A8"/>
    <w:rsid w:val="009C0CE3"/>
    <w:rsid w:val="009C30D7"/>
    <w:rsid w:val="009C395D"/>
    <w:rsid w:val="009C567E"/>
    <w:rsid w:val="009C5A0E"/>
    <w:rsid w:val="009C6252"/>
    <w:rsid w:val="009C7198"/>
    <w:rsid w:val="009D06D4"/>
    <w:rsid w:val="009D1423"/>
    <w:rsid w:val="009D256D"/>
    <w:rsid w:val="009D3870"/>
    <w:rsid w:val="009D405D"/>
    <w:rsid w:val="009D54FD"/>
    <w:rsid w:val="009D6549"/>
    <w:rsid w:val="009D7263"/>
    <w:rsid w:val="009E0739"/>
    <w:rsid w:val="009E0BDA"/>
    <w:rsid w:val="009E1490"/>
    <w:rsid w:val="009E2821"/>
    <w:rsid w:val="009E282D"/>
    <w:rsid w:val="009E2C05"/>
    <w:rsid w:val="009E4827"/>
    <w:rsid w:val="009E6ADF"/>
    <w:rsid w:val="009E6F88"/>
    <w:rsid w:val="009E7302"/>
    <w:rsid w:val="009E7D58"/>
    <w:rsid w:val="009F0590"/>
    <w:rsid w:val="009F52EE"/>
    <w:rsid w:val="009F78DD"/>
    <w:rsid w:val="00A00291"/>
    <w:rsid w:val="00A004D4"/>
    <w:rsid w:val="00A00E2E"/>
    <w:rsid w:val="00A013BB"/>
    <w:rsid w:val="00A019DB"/>
    <w:rsid w:val="00A0300B"/>
    <w:rsid w:val="00A04ACC"/>
    <w:rsid w:val="00A05900"/>
    <w:rsid w:val="00A059F2"/>
    <w:rsid w:val="00A06B61"/>
    <w:rsid w:val="00A10F02"/>
    <w:rsid w:val="00A10F0A"/>
    <w:rsid w:val="00A119B7"/>
    <w:rsid w:val="00A11F7D"/>
    <w:rsid w:val="00A12D48"/>
    <w:rsid w:val="00A12DF2"/>
    <w:rsid w:val="00A15377"/>
    <w:rsid w:val="00A15901"/>
    <w:rsid w:val="00A1796E"/>
    <w:rsid w:val="00A17A00"/>
    <w:rsid w:val="00A2022F"/>
    <w:rsid w:val="00A21251"/>
    <w:rsid w:val="00A21916"/>
    <w:rsid w:val="00A22144"/>
    <w:rsid w:val="00A24E69"/>
    <w:rsid w:val="00A25246"/>
    <w:rsid w:val="00A26B8F"/>
    <w:rsid w:val="00A27664"/>
    <w:rsid w:val="00A300FD"/>
    <w:rsid w:val="00A30569"/>
    <w:rsid w:val="00A310D8"/>
    <w:rsid w:val="00A31757"/>
    <w:rsid w:val="00A31881"/>
    <w:rsid w:val="00A344E2"/>
    <w:rsid w:val="00A349F3"/>
    <w:rsid w:val="00A34FD2"/>
    <w:rsid w:val="00A36489"/>
    <w:rsid w:val="00A36908"/>
    <w:rsid w:val="00A36F73"/>
    <w:rsid w:val="00A377DE"/>
    <w:rsid w:val="00A400CE"/>
    <w:rsid w:val="00A40411"/>
    <w:rsid w:val="00A41DDF"/>
    <w:rsid w:val="00A42793"/>
    <w:rsid w:val="00A428C6"/>
    <w:rsid w:val="00A43F9E"/>
    <w:rsid w:val="00A4444A"/>
    <w:rsid w:val="00A44C95"/>
    <w:rsid w:val="00A463DC"/>
    <w:rsid w:val="00A46408"/>
    <w:rsid w:val="00A46C9B"/>
    <w:rsid w:val="00A4758E"/>
    <w:rsid w:val="00A47AAA"/>
    <w:rsid w:val="00A50021"/>
    <w:rsid w:val="00A50C92"/>
    <w:rsid w:val="00A50EB5"/>
    <w:rsid w:val="00A53724"/>
    <w:rsid w:val="00A5418C"/>
    <w:rsid w:val="00A54ED0"/>
    <w:rsid w:val="00A54F14"/>
    <w:rsid w:val="00A556C2"/>
    <w:rsid w:val="00A567D5"/>
    <w:rsid w:val="00A5680D"/>
    <w:rsid w:val="00A57C56"/>
    <w:rsid w:val="00A6117A"/>
    <w:rsid w:val="00A620ED"/>
    <w:rsid w:val="00A643C3"/>
    <w:rsid w:val="00A666B6"/>
    <w:rsid w:val="00A66ABF"/>
    <w:rsid w:val="00A675D2"/>
    <w:rsid w:val="00A6794E"/>
    <w:rsid w:val="00A67C6C"/>
    <w:rsid w:val="00A7124D"/>
    <w:rsid w:val="00A72CF1"/>
    <w:rsid w:val="00A731C4"/>
    <w:rsid w:val="00A73B48"/>
    <w:rsid w:val="00A75950"/>
    <w:rsid w:val="00A75F73"/>
    <w:rsid w:val="00A7761A"/>
    <w:rsid w:val="00A77F76"/>
    <w:rsid w:val="00A81C38"/>
    <w:rsid w:val="00A81DA0"/>
    <w:rsid w:val="00A8209F"/>
    <w:rsid w:val="00A82346"/>
    <w:rsid w:val="00A8237D"/>
    <w:rsid w:val="00A82A21"/>
    <w:rsid w:val="00A83786"/>
    <w:rsid w:val="00A83B4E"/>
    <w:rsid w:val="00A844E6"/>
    <w:rsid w:val="00A84C3A"/>
    <w:rsid w:val="00A871DA"/>
    <w:rsid w:val="00A87631"/>
    <w:rsid w:val="00A92730"/>
    <w:rsid w:val="00A930E5"/>
    <w:rsid w:val="00A93A49"/>
    <w:rsid w:val="00A93D58"/>
    <w:rsid w:val="00A95A06"/>
    <w:rsid w:val="00A963EC"/>
    <w:rsid w:val="00A9671C"/>
    <w:rsid w:val="00A9754D"/>
    <w:rsid w:val="00AA20F0"/>
    <w:rsid w:val="00AA21C6"/>
    <w:rsid w:val="00AA3187"/>
    <w:rsid w:val="00AA3F44"/>
    <w:rsid w:val="00AA40D3"/>
    <w:rsid w:val="00AA424C"/>
    <w:rsid w:val="00AA4768"/>
    <w:rsid w:val="00AA53F1"/>
    <w:rsid w:val="00AA5901"/>
    <w:rsid w:val="00AA68DA"/>
    <w:rsid w:val="00AA6BA2"/>
    <w:rsid w:val="00AA6CB2"/>
    <w:rsid w:val="00AA73D7"/>
    <w:rsid w:val="00AB026F"/>
    <w:rsid w:val="00AB167C"/>
    <w:rsid w:val="00AB1B9F"/>
    <w:rsid w:val="00AB1D53"/>
    <w:rsid w:val="00AB2D12"/>
    <w:rsid w:val="00AB2D47"/>
    <w:rsid w:val="00AB324C"/>
    <w:rsid w:val="00AB39C7"/>
    <w:rsid w:val="00AB3D6D"/>
    <w:rsid w:val="00AB4AB2"/>
    <w:rsid w:val="00AB5899"/>
    <w:rsid w:val="00AB5CCD"/>
    <w:rsid w:val="00AC00B6"/>
    <w:rsid w:val="00AC0248"/>
    <w:rsid w:val="00AC0E5B"/>
    <w:rsid w:val="00AC1733"/>
    <w:rsid w:val="00AC1DDD"/>
    <w:rsid w:val="00AC2605"/>
    <w:rsid w:val="00AC3824"/>
    <w:rsid w:val="00AC4009"/>
    <w:rsid w:val="00AC457A"/>
    <w:rsid w:val="00AC4A34"/>
    <w:rsid w:val="00AC4BEE"/>
    <w:rsid w:val="00AC5918"/>
    <w:rsid w:val="00AC5BCC"/>
    <w:rsid w:val="00AC68F0"/>
    <w:rsid w:val="00AC6F09"/>
    <w:rsid w:val="00AC7BBF"/>
    <w:rsid w:val="00AC7C65"/>
    <w:rsid w:val="00AD0C18"/>
    <w:rsid w:val="00AD0DDF"/>
    <w:rsid w:val="00AD1155"/>
    <w:rsid w:val="00AD1E82"/>
    <w:rsid w:val="00AD1FE1"/>
    <w:rsid w:val="00AD201A"/>
    <w:rsid w:val="00AD244B"/>
    <w:rsid w:val="00AD32AF"/>
    <w:rsid w:val="00AD3DFC"/>
    <w:rsid w:val="00AD4223"/>
    <w:rsid w:val="00AD4C75"/>
    <w:rsid w:val="00AD4FDF"/>
    <w:rsid w:val="00AD56F1"/>
    <w:rsid w:val="00AD62D7"/>
    <w:rsid w:val="00AE26A5"/>
    <w:rsid w:val="00AE2B24"/>
    <w:rsid w:val="00AE3CB2"/>
    <w:rsid w:val="00AE42BF"/>
    <w:rsid w:val="00AE4CBE"/>
    <w:rsid w:val="00AE61AA"/>
    <w:rsid w:val="00AE681E"/>
    <w:rsid w:val="00AE73AF"/>
    <w:rsid w:val="00AE7FA7"/>
    <w:rsid w:val="00AF1369"/>
    <w:rsid w:val="00AF1387"/>
    <w:rsid w:val="00AF25AF"/>
    <w:rsid w:val="00AF39D7"/>
    <w:rsid w:val="00AF477D"/>
    <w:rsid w:val="00AF4A88"/>
    <w:rsid w:val="00AF4D8D"/>
    <w:rsid w:val="00AF5D2E"/>
    <w:rsid w:val="00AF5E8E"/>
    <w:rsid w:val="00AF632F"/>
    <w:rsid w:val="00AF7A4E"/>
    <w:rsid w:val="00B01511"/>
    <w:rsid w:val="00B03DB2"/>
    <w:rsid w:val="00B04067"/>
    <w:rsid w:val="00B04178"/>
    <w:rsid w:val="00B049B0"/>
    <w:rsid w:val="00B04E9C"/>
    <w:rsid w:val="00B05574"/>
    <w:rsid w:val="00B05E89"/>
    <w:rsid w:val="00B06F4C"/>
    <w:rsid w:val="00B07876"/>
    <w:rsid w:val="00B0795A"/>
    <w:rsid w:val="00B07A2A"/>
    <w:rsid w:val="00B07C05"/>
    <w:rsid w:val="00B07C06"/>
    <w:rsid w:val="00B07F6B"/>
    <w:rsid w:val="00B10C91"/>
    <w:rsid w:val="00B10F74"/>
    <w:rsid w:val="00B1283D"/>
    <w:rsid w:val="00B12D86"/>
    <w:rsid w:val="00B12F91"/>
    <w:rsid w:val="00B14572"/>
    <w:rsid w:val="00B15449"/>
    <w:rsid w:val="00B1607E"/>
    <w:rsid w:val="00B16A36"/>
    <w:rsid w:val="00B16D83"/>
    <w:rsid w:val="00B17E02"/>
    <w:rsid w:val="00B20168"/>
    <w:rsid w:val="00B210D5"/>
    <w:rsid w:val="00B21B86"/>
    <w:rsid w:val="00B220AB"/>
    <w:rsid w:val="00B24396"/>
    <w:rsid w:val="00B24877"/>
    <w:rsid w:val="00B25458"/>
    <w:rsid w:val="00B25B6A"/>
    <w:rsid w:val="00B26361"/>
    <w:rsid w:val="00B30EB8"/>
    <w:rsid w:val="00B323EA"/>
    <w:rsid w:val="00B333FA"/>
    <w:rsid w:val="00B3363E"/>
    <w:rsid w:val="00B33EA2"/>
    <w:rsid w:val="00B343DA"/>
    <w:rsid w:val="00B3472F"/>
    <w:rsid w:val="00B34833"/>
    <w:rsid w:val="00B36535"/>
    <w:rsid w:val="00B36EE6"/>
    <w:rsid w:val="00B37558"/>
    <w:rsid w:val="00B379C6"/>
    <w:rsid w:val="00B409F8"/>
    <w:rsid w:val="00B40A4D"/>
    <w:rsid w:val="00B41427"/>
    <w:rsid w:val="00B414A9"/>
    <w:rsid w:val="00B41D65"/>
    <w:rsid w:val="00B42440"/>
    <w:rsid w:val="00B4450A"/>
    <w:rsid w:val="00B45982"/>
    <w:rsid w:val="00B51458"/>
    <w:rsid w:val="00B5208D"/>
    <w:rsid w:val="00B52519"/>
    <w:rsid w:val="00B5276B"/>
    <w:rsid w:val="00B5313E"/>
    <w:rsid w:val="00B543C4"/>
    <w:rsid w:val="00B55C6E"/>
    <w:rsid w:val="00B560B2"/>
    <w:rsid w:val="00B56FE5"/>
    <w:rsid w:val="00B57515"/>
    <w:rsid w:val="00B5766D"/>
    <w:rsid w:val="00B57971"/>
    <w:rsid w:val="00B57AB7"/>
    <w:rsid w:val="00B600CD"/>
    <w:rsid w:val="00B600FC"/>
    <w:rsid w:val="00B61F99"/>
    <w:rsid w:val="00B62CC9"/>
    <w:rsid w:val="00B62D0E"/>
    <w:rsid w:val="00B6393B"/>
    <w:rsid w:val="00B64317"/>
    <w:rsid w:val="00B6495F"/>
    <w:rsid w:val="00B65C86"/>
    <w:rsid w:val="00B67579"/>
    <w:rsid w:val="00B70D56"/>
    <w:rsid w:val="00B71900"/>
    <w:rsid w:val="00B71D01"/>
    <w:rsid w:val="00B72E82"/>
    <w:rsid w:val="00B745E7"/>
    <w:rsid w:val="00B75094"/>
    <w:rsid w:val="00B751CB"/>
    <w:rsid w:val="00B752D2"/>
    <w:rsid w:val="00B777EC"/>
    <w:rsid w:val="00B81151"/>
    <w:rsid w:val="00B81FB3"/>
    <w:rsid w:val="00B822A2"/>
    <w:rsid w:val="00B8562F"/>
    <w:rsid w:val="00B86738"/>
    <w:rsid w:val="00B927AF"/>
    <w:rsid w:val="00B929C6"/>
    <w:rsid w:val="00B93C9E"/>
    <w:rsid w:val="00B942D0"/>
    <w:rsid w:val="00B947E0"/>
    <w:rsid w:val="00B96A7F"/>
    <w:rsid w:val="00B96F14"/>
    <w:rsid w:val="00B97420"/>
    <w:rsid w:val="00BA049B"/>
    <w:rsid w:val="00BA04B2"/>
    <w:rsid w:val="00BA0593"/>
    <w:rsid w:val="00BA0823"/>
    <w:rsid w:val="00BA3E9D"/>
    <w:rsid w:val="00BA6E76"/>
    <w:rsid w:val="00BA71B0"/>
    <w:rsid w:val="00BB03E5"/>
    <w:rsid w:val="00BB0799"/>
    <w:rsid w:val="00BB167C"/>
    <w:rsid w:val="00BB2075"/>
    <w:rsid w:val="00BB25D2"/>
    <w:rsid w:val="00BB29B9"/>
    <w:rsid w:val="00BB4B99"/>
    <w:rsid w:val="00BB56C9"/>
    <w:rsid w:val="00BB5A99"/>
    <w:rsid w:val="00BB667F"/>
    <w:rsid w:val="00BB6E70"/>
    <w:rsid w:val="00BB7339"/>
    <w:rsid w:val="00BB781A"/>
    <w:rsid w:val="00BC1867"/>
    <w:rsid w:val="00BC1943"/>
    <w:rsid w:val="00BC1A55"/>
    <w:rsid w:val="00BC1CF4"/>
    <w:rsid w:val="00BC24C7"/>
    <w:rsid w:val="00BC2FFF"/>
    <w:rsid w:val="00BC3CE5"/>
    <w:rsid w:val="00BC4058"/>
    <w:rsid w:val="00BC4731"/>
    <w:rsid w:val="00BC4DDA"/>
    <w:rsid w:val="00BC53B9"/>
    <w:rsid w:val="00BC55E0"/>
    <w:rsid w:val="00BC5FD8"/>
    <w:rsid w:val="00BC64ED"/>
    <w:rsid w:val="00BC6609"/>
    <w:rsid w:val="00BD03EF"/>
    <w:rsid w:val="00BD203D"/>
    <w:rsid w:val="00BD2B56"/>
    <w:rsid w:val="00BD34AD"/>
    <w:rsid w:val="00BD42A3"/>
    <w:rsid w:val="00BD4382"/>
    <w:rsid w:val="00BD4466"/>
    <w:rsid w:val="00BD55CC"/>
    <w:rsid w:val="00BE0126"/>
    <w:rsid w:val="00BE0A49"/>
    <w:rsid w:val="00BE0DD6"/>
    <w:rsid w:val="00BE1E53"/>
    <w:rsid w:val="00BE1E5D"/>
    <w:rsid w:val="00BE28B3"/>
    <w:rsid w:val="00BE2C47"/>
    <w:rsid w:val="00BE30F5"/>
    <w:rsid w:val="00BE3EA2"/>
    <w:rsid w:val="00BE457F"/>
    <w:rsid w:val="00BE45F4"/>
    <w:rsid w:val="00BE54C6"/>
    <w:rsid w:val="00BE5820"/>
    <w:rsid w:val="00BE5952"/>
    <w:rsid w:val="00BE7124"/>
    <w:rsid w:val="00BE790D"/>
    <w:rsid w:val="00BF0A7A"/>
    <w:rsid w:val="00BF1897"/>
    <w:rsid w:val="00BF1CDE"/>
    <w:rsid w:val="00BF24D2"/>
    <w:rsid w:val="00BF451B"/>
    <w:rsid w:val="00BF45EB"/>
    <w:rsid w:val="00BF4F97"/>
    <w:rsid w:val="00BF648A"/>
    <w:rsid w:val="00C000DB"/>
    <w:rsid w:val="00C00291"/>
    <w:rsid w:val="00C008E9"/>
    <w:rsid w:val="00C01EDD"/>
    <w:rsid w:val="00C0219F"/>
    <w:rsid w:val="00C025E3"/>
    <w:rsid w:val="00C03EFD"/>
    <w:rsid w:val="00C04C15"/>
    <w:rsid w:val="00C0746B"/>
    <w:rsid w:val="00C10FC8"/>
    <w:rsid w:val="00C11C9A"/>
    <w:rsid w:val="00C126C2"/>
    <w:rsid w:val="00C129EA"/>
    <w:rsid w:val="00C12DFA"/>
    <w:rsid w:val="00C12EEC"/>
    <w:rsid w:val="00C13E1B"/>
    <w:rsid w:val="00C15450"/>
    <w:rsid w:val="00C155BD"/>
    <w:rsid w:val="00C156D0"/>
    <w:rsid w:val="00C16C3B"/>
    <w:rsid w:val="00C17B1E"/>
    <w:rsid w:val="00C2099D"/>
    <w:rsid w:val="00C21AE9"/>
    <w:rsid w:val="00C22581"/>
    <w:rsid w:val="00C23519"/>
    <w:rsid w:val="00C236C9"/>
    <w:rsid w:val="00C23ABD"/>
    <w:rsid w:val="00C24F3F"/>
    <w:rsid w:val="00C26457"/>
    <w:rsid w:val="00C33079"/>
    <w:rsid w:val="00C338A8"/>
    <w:rsid w:val="00C33C14"/>
    <w:rsid w:val="00C346E8"/>
    <w:rsid w:val="00C34C05"/>
    <w:rsid w:val="00C35A36"/>
    <w:rsid w:val="00C35E02"/>
    <w:rsid w:val="00C36A14"/>
    <w:rsid w:val="00C37567"/>
    <w:rsid w:val="00C3763A"/>
    <w:rsid w:val="00C3775F"/>
    <w:rsid w:val="00C40284"/>
    <w:rsid w:val="00C41A98"/>
    <w:rsid w:val="00C41D5B"/>
    <w:rsid w:val="00C427D5"/>
    <w:rsid w:val="00C4320C"/>
    <w:rsid w:val="00C43BBA"/>
    <w:rsid w:val="00C44347"/>
    <w:rsid w:val="00C44423"/>
    <w:rsid w:val="00C4530A"/>
    <w:rsid w:val="00C454EE"/>
    <w:rsid w:val="00C45EAF"/>
    <w:rsid w:val="00C46048"/>
    <w:rsid w:val="00C468C2"/>
    <w:rsid w:val="00C46D22"/>
    <w:rsid w:val="00C46FBF"/>
    <w:rsid w:val="00C500F7"/>
    <w:rsid w:val="00C502A4"/>
    <w:rsid w:val="00C50587"/>
    <w:rsid w:val="00C51731"/>
    <w:rsid w:val="00C53FFD"/>
    <w:rsid w:val="00C548EF"/>
    <w:rsid w:val="00C54AB4"/>
    <w:rsid w:val="00C5505D"/>
    <w:rsid w:val="00C55D96"/>
    <w:rsid w:val="00C57B8B"/>
    <w:rsid w:val="00C57F90"/>
    <w:rsid w:val="00C63953"/>
    <w:rsid w:val="00C6426E"/>
    <w:rsid w:val="00C66AB9"/>
    <w:rsid w:val="00C7060D"/>
    <w:rsid w:val="00C706A4"/>
    <w:rsid w:val="00C718A9"/>
    <w:rsid w:val="00C71C22"/>
    <w:rsid w:val="00C72514"/>
    <w:rsid w:val="00C72E52"/>
    <w:rsid w:val="00C72EB1"/>
    <w:rsid w:val="00C74CC1"/>
    <w:rsid w:val="00C75038"/>
    <w:rsid w:val="00C75577"/>
    <w:rsid w:val="00C77A67"/>
    <w:rsid w:val="00C77AB2"/>
    <w:rsid w:val="00C8185D"/>
    <w:rsid w:val="00C81B64"/>
    <w:rsid w:val="00C81BDD"/>
    <w:rsid w:val="00C820BD"/>
    <w:rsid w:val="00C85EBE"/>
    <w:rsid w:val="00C86540"/>
    <w:rsid w:val="00C86E8C"/>
    <w:rsid w:val="00C87A10"/>
    <w:rsid w:val="00C91664"/>
    <w:rsid w:val="00C9185C"/>
    <w:rsid w:val="00C922C3"/>
    <w:rsid w:val="00C923FA"/>
    <w:rsid w:val="00C92CEC"/>
    <w:rsid w:val="00C938AF"/>
    <w:rsid w:val="00C94001"/>
    <w:rsid w:val="00C971C0"/>
    <w:rsid w:val="00C97941"/>
    <w:rsid w:val="00C97B4F"/>
    <w:rsid w:val="00CA099F"/>
    <w:rsid w:val="00CA3BF1"/>
    <w:rsid w:val="00CA3C61"/>
    <w:rsid w:val="00CA3D0C"/>
    <w:rsid w:val="00CA72CD"/>
    <w:rsid w:val="00CA75E4"/>
    <w:rsid w:val="00CA7969"/>
    <w:rsid w:val="00CB0156"/>
    <w:rsid w:val="00CB0781"/>
    <w:rsid w:val="00CB2111"/>
    <w:rsid w:val="00CB2471"/>
    <w:rsid w:val="00CB2525"/>
    <w:rsid w:val="00CB2665"/>
    <w:rsid w:val="00CB7135"/>
    <w:rsid w:val="00CC047F"/>
    <w:rsid w:val="00CC232E"/>
    <w:rsid w:val="00CC28A4"/>
    <w:rsid w:val="00CC28A8"/>
    <w:rsid w:val="00CC31D3"/>
    <w:rsid w:val="00CC31E9"/>
    <w:rsid w:val="00CC3AA0"/>
    <w:rsid w:val="00CC4199"/>
    <w:rsid w:val="00CC458D"/>
    <w:rsid w:val="00CC4762"/>
    <w:rsid w:val="00CC4DD5"/>
    <w:rsid w:val="00CC5E57"/>
    <w:rsid w:val="00CC6878"/>
    <w:rsid w:val="00CC6ADA"/>
    <w:rsid w:val="00CC6AE8"/>
    <w:rsid w:val="00CC6DE6"/>
    <w:rsid w:val="00CD14E3"/>
    <w:rsid w:val="00CD201A"/>
    <w:rsid w:val="00CD39A5"/>
    <w:rsid w:val="00CD3F86"/>
    <w:rsid w:val="00CD4BB4"/>
    <w:rsid w:val="00CD4C7B"/>
    <w:rsid w:val="00CD6BAE"/>
    <w:rsid w:val="00CD6E85"/>
    <w:rsid w:val="00CE0F92"/>
    <w:rsid w:val="00CE1F64"/>
    <w:rsid w:val="00CE3549"/>
    <w:rsid w:val="00CE3A94"/>
    <w:rsid w:val="00CE3F30"/>
    <w:rsid w:val="00CE50C1"/>
    <w:rsid w:val="00CE5979"/>
    <w:rsid w:val="00CE670A"/>
    <w:rsid w:val="00CE7E48"/>
    <w:rsid w:val="00CE7F57"/>
    <w:rsid w:val="00CF0DB3"/>
    <w:rsid w:val="00CF0E5B"/>
    <w:rsid w:val="00CF0F9F"/>
    <w:rsid w:val="00CF1E30"/>
    <w:rsid w:val="00CF1F96"/>
    <w:rsid w:val="00CF25A9"/>
    <w:rsid w:val="00CF4440"/>
    <w:rsid w:val="00CF4F8D"/>
    <w:rsid w:val="00CF5045"/>
    <w:rsid w:val="00CF5E8A"/>
    <w:rsid w:val="00CF7081"/>
    <w:rsid w:val="00CF74A2"/>
    <w:rsid w:val="00D005EF"/>
    <w:rsid w:val="00D011E3"/>
    <w:rsid w:val="00D01373"/>
    <w:rsid w:val="00D017A4"/>
    <w:rsid w:val="00D03BE8"/>
    <w:rsid w:val="00D04113"/>
    <w:rsid w:val="00D04A49"/>
    <w:rsid w:val="00D05134"/>
    <w:rsid w:val="00D05A4E"/>
    <w:rsid w:val="00D07639"/>
    <w:rsid w:val="00D07D11"/>
    <w:rsid w:val="00D102B0"/>
    <w:rsid w:val="00D10424"/>
    <w:rsid w:val="00D108B3"/>
    <w:rsid w:val="00D12448"/>
    <w:rsid w:val="00D135DA"/>
    <w:rsid w:val="00D1363D"/>
    <w:rsid w:val="00D136CF"/>
    <w:rsid w:val="00D14463"/>
    <w:rsid w:val="00D14B52"/>
    <w:rsid w:val="00D1696E"/>
    <w:rsid w:val="00D16AA2"/>
    <w:rsid w:val="00D16D94"/>
    <w:rsid w:val="00D16F87"/>
    <w:rsid w:val="00D17483"/>
    <w:rsid w:val="00D1767D"/>
    <w:rsid w:val="00D17961"/>
    <w:rsid w:val="00D17C37"/>
    <w:rsid w:val="00D217E8"/>
    <w:rsid w:val="00D21FDD"/>
    <w:rsid w:val="00D221A4"/>
    <w:rsid w:val="00D227B7"/>
    <w:rsid w:val="00D23311"/>
    <w:rsid w:val="00D241D5"/>
    <w:rsid w:val="00D24257"/>
    <w:rsid w:val="00D27213"/>
    <w:rsid w:val="00D30A6B"/>
    <w:rsid w:val="00D32664"/>
    <w:rsid w:val="00D329DF"/>
    <w:rsid w:val="00D33D90"/>
    <w:rsid w:val="00D33E7F"/>
    <w:rsid w:val="00D350E1"/>
    <w:rsid w:val="00D351C2"/>
    <w:rsid w:val="00D36E4F"/>
    <w:rsid w:val="00D41E58"/>
    <w:rsid w:val="00D42E0A"/>
    <w:rsid w:val="00D42E72"/>
    <w:rsid w:val="00D430EC"/>
    <w:rsid w:val="00D43569"/>
    <w:rsid w:val="00D43E63"/>
    <w:rsid w:val="00D440B7"/>
    <w:rsid w:val="00D456C9"/>
    <w:rsid w:val="00D45E4B"/>
    <w:rsid w:val="00D46F0B"/>
    <w:rsid w:val="00D46FD1"/>
    <w:rsid w:val="00D502B4"/>
    <w:rsid w:val="00D5102A"/>
    <w:rsid w:val="00D5234C"/>
    <w:rsid w:val="00D52B48"/>
    <w:rsid w:val="00D530C7"/>
    <w:rsid w:val="00D53A20"/>
    <w:rsid w:val="00D55A0F"/>
    <w:rsid w:val="00D55A4F"/>
    <w:rsid w:val="00D571A8"/>
    <w:rsid w:val="00D5731A"/>
    <w:rsid w:val="00D574FD"/>
    <w:rsid w:val="00D609FC"/>
    <w:rsid w:val="00D629A2"/>
    <w:rsid w:val="00D62A78"/>
    <w:rsid w:val="00D63618"/>
    <w:rsid w:val="00D644B7"/>
    <w:rsid w:val="00D64678"/>
    <w:rsid w:val="00D647EA"/>
    <w:rsid w:val="00D65A7D"/>
    <w:rsid w:val="00D67A7D"/>
    <w:rsid w:val="00D67B38"/>
    <w:rsid w:val="00D700EA"/>
    <w:rsid w:val="00D70406"/>
    <w:rsid w:val="00D71629"/>
    <w:rsid w:val="00D71630"/>
    <w:rsid w:val="00D72293"/>
    <w:rsid w:val="00D727F6"/>
    <w:rsid w:val="00D72ADA"/>
    <w:rsid w:val="00D738D6"/>
    <w:rsid w:val="00D738EF"/>
    <w:rsid w:val="00D740DE"/>
    <w:rsid w:val="00D74737"/>
    <w:rsid w:val="00D74B60"/>
    <w:rsid w:val="00D7501B"/>
    <w:rsid w:val="00D752EA"/>
    <w:rsid w:val="00D76533"/>
    <w:rsid w:val="00D769E4"/>
    <w:rsid w:val="00D76F75"/>
    <w:rsid w:val="00D775BC"/>
    <w:rsid w:val="00D80032"/>
    <w:rsid w:val="00D806B9"/>
    <w:rsid w:val="00D80795"/>
    <w:rsid w:val="00D8204D"/>
    <w:rsid w:val="00D82414"/>
    <w:rsid w:val="00D82586"/>
    <w:rsid w:val="00D8270F"/>
    <w:rsid w:val="00D82C25"/>
    <w:rsid w:val="00D838A9"/>
    <w:rsid w:val="00D84E32"/>
    <w:rsid w:val="00D84FB4"/>
    <w:rsid w:val="00D85E99"/>
    <w:rsid w:val="00D85FBE"/>
    <w:rsid w:val="00D864DE"/>
    <w:rsid w:val="00D86B40"/>
    <w:rsid w:val="00D87A86"/>
    <w:rsid w:val="00D87E00"/>
    <w:rsid w:val="00D9134D"/>
    <w:rsid w:val="00D93041"/>
    <w:rsid w:val="00D93511"/>
    <w:rsid w:val="00D93667"/>
    <w:rsid w:val="00D93B50"/>
    <w:rsid w:val="00D93C67"/>
    <w:rsid w:val="00D94BB3"/>
    <w:rsid w:val="00D96100"/>
    <w:rsid w:val="00D9664C"/>
    <w:rsid w:val="00D97512"/>
    <w:rsid w:val="00D976D2"/>
    <w:rsid w:val="00D9785D"/>
    <w:rsid w:val="00D97AA0"/>
    <w:rsid w:val="00DA23FA"/>
    <w:rsid w:val="00DA28F1"/>
    <w:rsid w:val="00DA30F5"/>
    <w:rsid w:val="00DA3271"/>
    <w:rsid w:val="00DA36C1"/>
    <w:rsid w:val="00DA36E5"/>
    <w:rsid w:val="00DA3AAA"/>
    <w:rsid w:val="00DA3F2A"/>
    <w:rsid w:val="00DA4BB9"/>
    <w:rsid w:val="00DA5797"/>
    <w:rsid w:val="00DA673B"/>
    <w:rsid w:val="00DA7A03"/>
    <w:rsid w:val="00DA7CF8"/>
    <w:rsid w:val="00DB0A3D"/>
    <w:rsid w:val="00DB0AC7"/>
    <w:rsid w:val="00DB1818"/>
    <w:rsid w:val="00DB2D7F"/>
    <w:rsid w:val="00DB54BB"/>
    <w:rsid w:val="00DB555D"/>
    <w:rsid w:val="00DB5799"/>
    <w:rsid w:val="00DB5E4A"/>
    <w:rsid w:val="00DB61EE"/>
    <w:rsid w:val="00DB62B3"/>
    <w:rsid w:val="00DB670E"/>
    <w:rsid w:val="00DB67A4"/>
    <w:rsid w:val="00DB7370"/>
    <w:rsid w:val="00DB74E6"/>
    <w:rsid w:val="00DC103E"/>
    <w:rsid w:val="00DC1741"/>
    <w:rsid w:val="00DC1DD0"/>
    <w:rsid w:val="00DC309B"/>
    <w:rsid w:val="00DC4DA2"/>
    <w:rsid w:val="00DC4EBD"/>
    <w:rsid w:val="00DC4F46"/>
    <w:rsid w:val="00DC5C38"/>
    <w:rsid w:val="00DC6744"/>
    <w:rsid w:val="00DC6AF9"/>
    <w:rsid w:val="00DC7732"/>
    <w:rsid w:val="00DD015C"/>
    <w:rsid w:val="00DD16B8"/>
    <w:rsid w:val="00DD1710"/>
    <w:rsid w:val="00DD2536"/>
    <w:rsid w:val="00DD4686"/>
    <w:rsid w:val="00DD4B22"/>
    <w:rsid w:val="00DD592E"/>
    <w:rsid w:val="00DD6A01"/>
    <w:rsid w:val="00DD6BDC"/>
    <w:rsid w:val="00DD7944"/>
    <w:rsid w:val="00DD79D2"/>
    <w:rsid w:val="00DE13B2"/>
    <w:rsid w:val="00DE1576"/>
    <w:rsid w:val="00DE203B"/>
    <w:rsid w:val="00DE245E"/>
    <w:rsid w:val="00DE2BA3"/>
    <w:rsid w:val="00DE354E"/>
    <w:rsid w:val="00DE3ECC"/>
    <w:rsid w:val="00DE3FEC"/>
    <w:rsid w:val="00DE4B33"/>
    <w:rsid w:val="00DE6265"/>
    <w:rsid w:val="00DE626C"/>
    <w:rsid w:val="00DE7470"/>
    <w:rsid w:val="00DE79CF"/>
    <w:rsid w:val="00DE7CAC"/>
    <w:rsid w:val="00DE7CEA"/>
    <w:rsid w:val="00DF1D1A"/>
    <w:rsid w:val="00DF1F8A"/>
    <w:rsid w:val="00DF2764"/>
    <w:rsid w:val="00DF2D9F"/>
    <w:rsid w:val="00DF3513"/>
    <w:rsid w:val="00DF3663"/>
    <w:rsid w:val="00DF3A80"/>
    <w:rsid w:val="00DF5A81"/>
    <w:rsid w:val="00DF67BE"/>
    <w:rsid w:val="00DF7F02"/>
    <w:rsid w:val="00DF7FDF"/>
    <w:rsid w:val="00E00905"/>
    <w:rsid w:val="00E00BBA"/>
    <w:rsid w:val="00E028A0"/>
    <w:rsid w:val="00E02D83"/>
    <w:rsid w:val="00E031A6"/>
    <w:rsid w:val="00E03465"/>
    <w:rsid w:val="00E03947"/>
    <w:rsid w:val="00E04B0F"/>
    <w:rsid w:val="00E05025"/>
    <w:rsid w:val="00E0611B"/>
    <w:rsid w:val="00E06A62"/>
    <w:rsid w:val="00E06C99"/>
    <w:rsid w:val="00E06CCF"/>
    <w:rsid w:val="00E06D6A"/>
    <w:rsid w:val="00E074A5"/>
    <w:rsid w:val="00E104B0"/>
    <w:rsid w:val="00E107C1"/>
    <w:rsid w:val="00E10D23"/>
    <w:rsid w:val="00E110C6"/>
    <w:rsid w:val="00E11530"/>
    <w:rsid w:val="00E11863"/>
    <w:rsid w:val="00E12C8C"/>
    <w:rsid w:val="00E12FFB"/>
    <w:rsid w:val="00E149B9"/>
    <w:rsid w:val="00E1570D"/>
    <w:rsid w:val="00E1639F"/>
    <w:rsid w:val="00E164B1"/>
    <w:rsid w:val="00E16A65"/>
    <w:rsid w:val="00E16CF7"/>
    <w:rsid w:val="00E176C4"/>
    <w:rsid w:val="00E22600"/>
    <w:rsid w:val="00E22F3D"/>
    <w:rsid w:val="00E23C5D"/>
    <w:rsid w:val="00E24A22"/>
    <w:rsid w:val="00E251A2"/>
    <w:rsid w:val="00E2572E"/>
    <w:rsid w:val="00E26110"/>
    <w:rsid w:val="00E26390"/>
    <w:rsid w:val="00E26403"/>
    <w:rsid w:val="00E27A1F"/>
    <w:rsid w:val="00E3007F"/>
    <w:rsid w:val="00E30C61"/>
    <w:rsid w:val="00E31A68"/>
    <w:rsid w:val="00E31DD0"/>
    <w:rsid w:val="00E31F8B"/>
    <w:rsid w:val="00E33F83"/>
    <w:rsid w:val="00E3462E"/>
    <w:rsid w:val="00E347AE"/>
    <w:rsid w:val="00E34F25"/>
    <w:rsid w:val="00E35080"/>
    <w:rsid w:val="00E352E6"/>
    <w:rsid w:val="00E35AD9"/>
    <w:rsid w:val="00E361DC"/>
    <w:rsid w:val="00E36776"/>
    <w:rsid w:val="00E36BE4"/>
    <w:rsid w:val="00E37A03"/>
    <w:rsid w:val="00E37CF5"/>
    <w:rsid w:val="00E40297"/>
    <w:rsid w:val="00E41B2C"/>
    <w:rsid w:val="00E42167"/>
    <w:rsid w:val="00E43461"/>
    <w:rsid w:val="00E4796C"/>
    <w:rsid w:val="00E50F4A"/>
    <w:rsid w:val="00E50FBD"/>
    <w:rsid w:val="00E557CE"/>
    <w:rsid w:val="00E55B4B"/>
    <w:rsid w:val="00E56204"/>
    <w:rsid w:val="00E5699E"/>
    <w:rsid w:val="00E57DB7"/>
    <w:rsid w:val="00E6091F"/>
    <w:rsid w:val="00E615EA"/>
    <w:rsid w:val="00E62835"/>
    <w:rsid w:val="00E62F20"/>
    <w:rsid w:val="00E64551"/>
    <w:rsid w:val="00E64FE8"/>
    <w:rsid w:val="00E652D2"/>
    <w:rsid w:val="00E6535B"/>
    <w:rsid w:val="00E65B1E"/>
    <w:rsid w:val="00E66652"/>
    <w:rsid w:val="00E669E2"/>
    <w:rsid w:val="00E66C0D"/>
    <w:rsid w:val="00E67277"/>
    <w:rsid w:val="00E67BDB"/>
    <w:rsid w:val="00E70415"/>
    <w:rsid w:val="00E70E61"/>
    <w:rsid w:val="00E71029"/>
    <w:rsid w:val="00E711C5"/>
    <w:rsid w:val="00E72477"/>
    <w:rsid w:val="00E72970"/>
    <w:rsid w:val="00E73819"/>
    <w:rsid w:val="00E73A68"/>
    <w:rsid w:val="00E73C41"/>
    <w:rsid w:val="00E7406D"/>
    <w:rsid w:val="00E75A0D"/>
    <w:rsid w:val="00E75D86"/>
    <w:rsid w:val="00E76BB7"/>
    <w:rsid w:val="00E77645"/>
    <w:rsid w:val="00E80158"/>
    <w:rsid w:val="00E80ABD"/>
    <w:rsid w:val="00E80D11"/>
    <w:rsid w:val="00E8101C"/>
    <w:rsid w:val="00E81200"/>
    <w:rsid w:val="00E81A8D"/>
    <w:rsid w:val="00E8255D"/>
    <w:rsid w:val="00E82BFB"/>
    <w:rsid w:val="00E830D0"/>
    <w:rsid w:val="00E83421"/>
    <w:rsid w:val="00E83F06"/>
    <w:rsid w:val="00E8431D"/>
    <w:rsid w:val="00E87D81"/>
    <w:rsid w:val="00E93195"/>
    <w:rsid w:val="00E937A9"/>
    <w:rsid w:val="00E937FE"/>
    <w:rsid w:val="00E93B17"/>
    <w:rsid w:val="00E93D39"/>
    <w:rsid w:val="00E9629F"/>
    <w:rsid w:val="00E9659B"/>
    <w:rsid w:val="00E96D7F"/>
    <w:rsid w:val="00EA0119"/>
    <w:rsid w:val="00EA07C5"/>
    <w:rsid w:val="00EA0F74"/>
    <w:rsid w:val="00EA1917"/>
    <w:rsid w:val="00EA1A0B"/>
    <w:rsid w:val="00EA27B0"/>
    <w:rsid w:val="00EA2E0A"/>
    <w:rsid w:val="00EA386B"/>
    <w:rsid w:val="00EA40CB"/>
    <w:rsid w:val="00EA40E1"/>
    <w:rsid w:val="00EA424D"/>
    <w:rsid w:val="00EA4435"/>
    <w:rsid w:val="00EA5A39"/>
    <w:rsid w:val="00EA65EB"/>
    <w:rsid w:val="00EA66F1"/>
    <w:rsid w:val="00EA7C1D"/>
    <w:rsid w:val="00EA7C8E"/>
    <w:rsid w:val="00EB0C43"/>
    <w:rsid w:val="00EB1A49"/>
    <w:rsid w:val="00EB27BD"/>
    <w:rsid w:val="00EB28BC"/>
    <w:rsid w:val="00EB2D99"/>
    <w:rsid w:val="00EB37D4"/>
    <w:rsid w:val="00EB3DBE"/>
    <w:rsid w:val="00EB43C1"/>
    <w:rsid w:val="00EB4ACA"/>
    <w:rsid w:val="00EB5118"/>
    <w:rsid w:val="00EB756A"/>
    <w:rsid w:val="00EC03EC"/>
    <w:rsid w:val="00EC23B5"/>
    <w:rsid w:val="00EC241E"/>
    <w:rsid w:val="00EC2CFB"/>
    <w:rsid w:val="00EC3577"/>
    <w:rsid w:val="00EC3E6B"/>
    <w:rsid w:val="00EC485A"/>
    <w:rsid w:val="00EC49B7"/>
    <w:rsid w:val="00EC4A25"/>
    <w:rsid w:val="00EC4FB3"/>
    <w:rsid w:val="00EC5020"/>
    <w:rsid w:val="00EC5568"/>
    <w:rsid w:val="00EC5E6B"/>
    <w:rsid w:val="00EC7251"/>
    <w:rsid w:val="00EC75BA"/>
    <w:rsid w:val="00ED106F"/>
    <w:rsid w:val="00ED13B4"/>
    <w:rsid w:val="00ED1FA5"/>
    <w:rsid w:val="00ED223A"/>
    <w:rsid w:val="00ED4881"/>
    <w:rsid w:val="00ED5BD8"/>
    <w:rsid w:val="00ED62E4"/>
    <w:rsid w:val="00ED676A"/>
    <w:rsid w:val="00ED6A0C"/>
    <w:rsid w:val="00ED76DF"/>
    <w:rsid w:val="00ED77FA"/>
    <w:rsid w:val="00ED7F7E"/>
    <w:rsid w:val="00EE06CF"/>
    <w:rsid w:val="00EE2163"/>
    <w:rsid w:val="00EE317E"/>
    <w:rsid w:val="00EE3405"/>
    <w:rsid w:val="00EE39DC"/>
    <w:rsid w:val="00EE3D37"/>
    <w:rsid w:val="00EE3EAE"/>
    <w:rsid w:val="00EE42BE"/>
    <w:rsid w:val="00EE498C"/>
    <w:rsid w:val="00EE5BB5"/>
    <w:rsid w:val="00EE5C22"/>
    <w:rsid w:val="00EE5C47"/>
    <w:rsid w:val="00EE799B"/>
    <w:rsid w:val="00EF18BD"/>
    <w:rsid w:val="00EF1C76"/>
    <w:rsid w:val="00EF2DA5"/>
    <w:rsid w:val="00EF37F5"/>
    <w:rsid w:val="00EF46DA"/>
    <w:rsid w:val="00EF546E"/>
    <w:rsid w:val="00EF5A4F"/>
    <w:rsid w:val="00EF5D0F"/>
    <w:rsid w:val="00EF6D88"/>
    <w:rsid w:val="00EF7CC1"/>
    <w:rsid w:val="00F01080"/>
    <w:rsid w:val="00F0118A"/>
    <w:rsid w:val="00F01ECA"/>
    <w:rsid w:val="00F021A7"/>
    <w:rsid w:val="00F025A2"/>
    <w:rsid w:val="00F02F67"/>
    <w:rsid w:val="00F05042"/>
    <w:rsid w:val="00F070F1"/>
    <w:rsid w:val="00F1111C"/>
    <w:rsid w:val="00F143D8"/>
    <w:rsid w:val="00F1618E"/>
    <w:rsid w:val="00F16663"/>
    <w:rsid w:val="00F16FEC"/>
    <w:rsid w:val="00F174D0"/>
    <w:rsid w:val="00F17643"/>
    <w:rsid w:val="00F20177"/>
    <w:rsid w:val="00F2026E"/>
    <w:rsid w:val="00F209A1"/>
    <w:rsid w:val="00F21FD0"/>
    <w:rsid w:val="00F22F7A"/>
    <w:rsid w:val="00F243CB"/>
    <w:rsid w:val="00F2519C"/>
    <w:rsid w:val="00F26908"/>
    <w:rsid w:val="00F26BC6"/>
    <w:rsid w:val="00F27AC2"/>
    <w:rsid w:val="00F27C67"/>
    <w:rsid w:val="00F27D98"/>
    <w:rsid w:val="00F30F3F"/>
    <w:rsid w:val="00F315D5"/>
    <w:rsid w:val="00F31CF7"/>
    <w:rsid w:val="00F31DA6"/>
    <w:rsid w:val="00F32A97"/>
    <w:rsid w:val="00F339A6"/>
    <w:rsid w:val="00F34543"/>
    <w:rsid w:val="00F358F7"/>
    <w:rsid w:val="00F35927"/>
    <w:rsid w:val="00F37743"/>
    <w:rsid w:val="00F40300"/>
    <w:rsid w:val="00F414CF"/>
    <w:rsid w:val="00F41A3A"/>
    <w:rsid w:val="00F41CA6"/>
    <w:rsid w:val="00F43951"/>
    <w:rsid w:val="00F443BE"/>
    <w:rsid w:val="00F46469"/>
    <w:rsid w:val="00F469F5"/>
    <w:rsid w:val="00F47F3F"/>
    <w:rsid w:val="00F47FEB"/>
    <w:rsid w:val="00F50124"/>
    <w:rsid w:val="00F50DDD"/>
    <w:rsid w:val="00F514F8"/>
    <w:rsid w:val="00F52168"/>
    <w:rsid w:val="00F52691"/>
    <w:rsid w:val="00F53506"/>
    <w:rsid w:val="00F53876"/>
    <w:rsid w:val="00F5419C"/>
    <w:rsid w:val="00F54A3D"/>
    <w:rsid w:val="00F55CE9"/>
    <w:rsid w:val="00F560C5"/>
    <w:rsid w:val="00F56A65"/>
    <w:rsid w:val="00F57D7B"/>
    <w:rsid w:val="00F60BEB"/>
    <w:rsid w:val="00F61504"/>
    <w:rsid w:val="00F615DF"/>
    <w:rsid w:val="00F628C3"/>
    <w:rsid w:val="00F6357E"/>
    <w:rsid w:val="00F6369B"/>
    <w:rsid w:val="00F64013"/>
    <w:rsid w:val="00F64C45"/>
    <w:rsid w:val="00F653B8"/>
    <w:rsid w:val="00F65E65"/>
    <w:rsid w:val="00F700CA"/>
    <w:rsid w:val="00F70F02"/>
    <w:rsid w:val="00F71A68"/>
    <w:rsid w:val="00F72C7A"/>
    <w:rsid w:val="00F73DC4"/>
    <w:rsid w:val="00F73F91"/>
    <w:rsid w:val="00F769CB"/>
    <w:rsid w:val="00F76D11"/>
    <w:rsid w:val="00F76F8F"/>
    <w:rsid w:val="00F778FE"/>
    <w:rsid w:val="00F77CB1"/>
    <w:rsid w:val="00F80D0A"/>
    <w:rsid w:val="00F81113"/>
    <w:rsid w:val="00F824F0"/>
    <w:rsid w:val="00F82924"/>
    <w:rsid w:val="00F82D22"/>
    <w:rsid w:val="00F83350"/>
    <w:rsid w:val="00F8447D"/>
    <w:rsid w:val="00F85260"/>
    <w:rsid w:val="00F8549D"/>
    <w:rsid w:val="00F85F83"/>
    <w:rsid w:val="00F85FE0"/>
    <w:rsid w:val="00F86E84"/>
    <w:rsid w:val="00F877C3"/>
    <w:rsid w:val="00F87B31"/>
    <w:rsid w:val="00F903AC"/>
    <w:rsid w:val="00F921F8"/>
    <w:rsid w:val="00F92C28"/>
    <w:rsid w:val="00F948DF"/>
    <w:rsid w:val="00F94ABD"/>
    <w:rsid w:val="00F95533"/>
    <w:rsid w:val="00F9578B"/>
    <w:rsid w:val="00F9705B"/>
    <w:rsid w:val="00FA0039"/>
    <w:rsid w:val="00FA1140"/>
    <w:rsid w:val="00FA1222"/>
    <w:rsid w:val="00FA1266"/>
    <w:rsid w:val="00FA1C1A"/>
    <w:rsid w:val="00FA2365"/>
    <w:rsid w:val="00FA2743"/>
    <w:rsid w:val="00FA3D4B"/>
    <w:rsid w:val="00FA4EDB"/>
    <w:rsid w:val="00FA6612"/>
    <w:rsid w:val="00FA7F9E"/>
    <w:rsid w:val="00FB0341"/>
    <w:rsid w:val="00FB13E9"/>
    <w:rsid w:val="00FB203F"/>
    <w:rsid w:val="00FB2232"/>
    <w:rsid w:val="00FB55AB"/>
    <w:rsid w:val="00FB5AAE"/>
    <w:rsid w:val="00FB6EF1"/>
    <w:rsid w:val="00FB7495"/>
    <w:rsid w:val="00FB762E"/>
    <w:rsid w:val="00FC055D"/>
    <w:rsid w:val="00FC1192"/>
    <w:rsid w:val="00FC17BA"/>
    <w:rsid w:val="00FC30AD"/>
    <w:rsid w:val="00FC34F0"/>
    <w:rsid w:val="00FC36DA"/>
    <w:rsid w:val="00FC41FA"/>
    <w:rsid w:val="00FC4EF3"/>
    <w:rsid w:val="00FC7CE0"/>
    <w:rsid w:val="00FD0C8B"/>
    <w:rsid w:val="00FD22A2"/>
    <w:rsid w:val="00FD2819"/>
    <w:rsid w:val="00FD40C9"/>
    <w:rsid w:val="00FD5BBB"/>
    <w:rsid w:val="00FD78EA"/>
    <w:rsid w:val="00FE04A5"/>
    <w:rsid w:val="00FE12A6"/>
    <w:rsid w:val="00FE184E"/>
    <w:rsid w:val="00FE3505"/>
    <w:rsid w:val="00FE3E99"/>
    <w:rsid w:val="00FE564F"/>
    <w:rsid w:val="00FE66FE"/>
    <w:rsid w:val="00FE7717"/>
    <w:rsid w:val="00FE77F5"/>
    <w:rsid w:val="00FF00BA"/>
    <w:rsid w:val="00FF0CE4"/>
    <w:rsid w:val="00FF3592"/>
    <w:rsid w:val="00FF4399"/>
    <w:rsid w:val="00FF454B"/>
    <w:rsid w:val="00FF48B9"/>
    <w:rsid w:val="00FF4EC3"/>
    <w:rsid w:val="00FF567E"/>
    <w:rsid w:val="00FF58B1"/>
    <w:rsid w:val="00FF5999"/>
    <w:rsid w:val="00FF6766"/>
    <w:rsid w:val="00FF6DD6"/>
    <w:rsid w:val="00FF76E7"/>
    <w:rsid w:val="023346A0"/>
    <w:rsid w:val="02486DC6"/>
    <w:rsid w:val="02811EC6"/>
    <w:rsid w:val="02835234"/>
    <w:rsid w:val="02B115A1"/>
    <w:rsid w:val="03B22457"/>
    <w:rsid w:val="040943C3"/>
    <w:rsid w:val="044E7DBD"/>
    <w:rsid w:val="04C57C36"/>
    <w:rsid w:val="0542322E"/>
    <w:rsid w:val="05476D2D"/>
    <w:rsid w:val="05875EEF"/>
    <w:rsid w:val="0646598E"/>
    <w:rsid w:val="06580950"/>
    <w:rsid w:val="06A62CED"/>
    <w:rsid w:val="06C53C99"/>
    <w:rsid w:val="07DE308F"/>
    <w:rsid w:val="081448ED"/>
    <w:rsid w:val="089C0B65"/>
    <w:rsid w:val="09CE55AF"/>
    <w:rsid w:val="0B222B28"/>
    <w:rsid w:val="0B3844B3"/>
    <w:rsid w:val="0B3F6274"/>
    <w:rsid w:val="0B77685A"/>
    <w:rsid w:val="0C0A1C1C"/>
    <w:rsid w:val="0C64355A"/>
    <w:rsid w:val="0C691AD4"/>
    <w:rsid w:val="0C783D01"/>
    <w:rsid w:val="0C9A039F"/>
    <w:rsid w:val="0CAC01E9"/>
    <w:rsid w:val="0CB917C6"/>
    <w:rsid w:val="0CD20BEF"/>
    <w:rsid w:val="0CF615AB"/>
    <w:rsid w:val="0D243294"/>
    <w:rsid w:val="0D290FCE"/>
    <w:rsid w:val="0D7D722C"/>
    <w:rsid w:val="0E43258B"/>
    <w:rsid w:val="0E4752A2"/>
    <w:rsid w:val="0E565F46"/>
    <w:rsid w:val="0E635595"/>
    <w:rsid w:val="0EC91494"/>
    <w:rsid w:val="0F422A75"/>
    <w:rsid w:val="103126D3"/>
    <w:rsid w:val="109811C5"/>
    <w:rsid w:val="118B38E4"/>
    <w:rsid w:val="11AD7730"/>
    <w:rsid w:val="11CB1CE0"/>
    <w:rsid w:val="11EE65A5"/>
    <w:rsid w:val="124522D3"/>
    <w:rsid w:val="139334D9"/>
    <w:rsid w:val="13C8122D"/>
    <w:rsid w:val="13F048E6"/>
    <w:rsid w:val="142D2C65"/>
    <w:rsid w:val="147419C0"/>
    <w:rsid w:val="151A4F57"/>
    <w:rsid w:val="153D0B4B"/>
    <w:rsid w:val="167C2052"/>
    <w:rsid w:val="171C3D3E"/>
    <w:rsid w:val="17D30F1F"/>
    <w:rsid w:val="17D527F9"/>
    <w:rsid w:val="183C5B40"/>
    <w:rsid w:val="184332CD"/>
    <w:rsid w:val="18AF3AAA"/>
    <w:rsid w:val="18C07A08"/>
    <w:rsid w:val="1901129D"/>
    <w:rsid w:val="19DE6E74"/>
    <w:rsid w:val="1AE11B4E"/>
    <w:rsid w:val="1B06297A"/>
    <w:rsid w:val="1BD5761B"/>
    <w:rsid w:val="1C131023"/>
    <w:rsid w:val="1C730BB3"/>
    <w:rsid w:val="1D955F64"/>
    <w:rsid w:val="1DCA6D01"/>
    <w:rsid w:val="1DF264F1"/>
    <w:rsid w:val="1E363918"/>
    <w:rsid w:val="1E41444B"/>
    <w:rsid w:val="1E4314C3"/>
    <w:rsid w:val="1E9C4BBA"/>
    <w:rsid w:val="1EC068F7"/>
    <w:rsid w:val="1EC663B9"/>
    <w:rsid w:val="1F9031A3"/>
    <w:rsid w:val="1FE7132B"/>
    <w:rsid w:val="205213E0"/>
    <w:rsid w:val="2057140F"/>
    <w:rsid w:val="207665EA"/>
    <w:rsid w:val="20EE2BEE"/>
    <w:rsid w:val="20FF08A5"/>
    <w:rsid w:val="22153867"/>
    <w:rsid w:val="22882344"/>
    <w:rsid w:val="22AA24EE"/>
    <w:rsid w:val="22DA395B"/>
    <w:rsid w:val="22FD1675"/>
    <w:rsid w:val="231E3C0F"/>
    <w:rsid w:val="2325681C"/>
    <w:rsid w:val="23430755"/>
    <w:rsid w:val="23813603"/>
    <w:rsid w:val="23F40983"/>
    <w:rsid w:val="240B6442"/>
    <w:rsid w:val="243C246D"/>
    <w:rsid w:val="24DB0BFE"/>
    <w:rsid w:val="25323738"/>
    <w:rsid w:val="254F54F9"/>
    <w:rsid w:val="25C546AA"/>
    <w:rsid w:val="260E5DBF"/>
    <w:rsid w:val="26474056"/>
    <w:rsid w:val="26B81A27"/>
    <w:rsid w:val="26F56D47"/>
    <w:rsid w:val="2770572A"/>
    <w:rsid w:val="27D70688"/>
    <w:rsid w:val="28F17EA2"/>
    <w:rsid w:val="2987598B"/>
    <w:rsid w:val="2A870312"/>
    <w:rsid w:val="2B14642B"/>
    <w:rsid w:val="2B427487"/>
    <w:rsid w:val="2BCA5F19"/>
    <w:rsid w:val="2C2D5E5E"/>
    <w:rsid w:val="2C463B2D"/>
    <w:rsid w:val="2CF003CE"/>
    <w:rsid w:val="2D151D46"/>
    <w:rsid w:val="2D8B0976"/>
    <w:rsid w:val="2D9746C1"/>
    <w:rsid w:val="2E085D3B"/>
    <w:rsid w:val="2EE20E74"/>
    <w:rsid w:val="2EF2553D"/>
    <w:rsid w:val="2F6B3148"/>
    <w:rsid w:val="2F791943"/>
    <w:rsid w:val="30277988"/>
    <w:rsid w:val="30403C19"/>
    <w:rsid w:val="305766F1"/>
    <w:rsid w:val="31A5385C"/>
    <w:rsid w:val="31B16A17"/>
    <w:rsid w:val="31E27377"/>
    <w:rsid w:val="32EA0B27"/>
    <w:rsid w:val="3308099B"/>
    <w:rsid w:val="333D5235"/>
    <w:rsid w:val="334263AC"/>
    <w:rsid w:val="33BE2D1A"/>
    <w:rsid w:val="33CD5A0B"/>
    <w:rsid w:val="34014C94"/>
    <w:rsid w:val="34760CA0"/>
    <w:rsid w:val="348461A6"/>
    <w:rsid w:val="34E86003"/>
    <w:rsid w:val="357239AC"/>
    <w:rsid w:val="36381566"/>
    <w:rsid w:val="363F5A26"/>
    <w:rsid w:val="367264B6"/>
    <w:rsid w:val="372863BA"/>
    <w:rsid w:val="372B768D"/>
    <w:rsid w:val="37A60FC9"/>
    <w:rsid w:val="37E932A2"/>
    <w:rsid w:val="388D0E03"/>
    <w:rsid w:val="38B82145"/>
    <w:rsid w:val="38F25A8F"/>
    <w:rsid w:val="39C4089F"/>
    <w:rsid w:val="39E66402"/>
    <w:rsid w:val="3A407A7C"/>
    <w:rsid w:val="3BFF4696"/>
    <w:rsid w:val="3C5279F4"/>
    <w:rsid w:val="3C9526A3"/>
    <w:rsid w:val="3CDD1ED3"/>
    <w:rsid w:val="3D9D1A02"/>
    <w:rsid w:val="3E05751B"/>
    <w:rsid w:val="3E733208"/>
    <w:rsid w:val="3EF65557"/>
    <w:rsid w:val="3F655311"/>
    <w:rsid w:val="3FBA091F"/>
    <w:rsid w:val="3FDD38CB"/>
    <w:rsid w:val="3FF71591"/>
    <w:rsid w:val="400954EA"/>
    <w:rsid w:val="401567AF"/>
    <w:rsid w:val="40F37308"/>
    <w:rsid w:val="4149607F"/>
    <w:rsid w:val="41826A0B"/>
    <w:rsid w:val="421A322A"/>
    <w:rsid w:val="42517A66"/>
    <w:rsid w:val="430709CD"/>
    <w:rsid w:val="431C5CB0"/>
    <w:rsid w:val="4330678D"/>
    <w:rsid w:val="44AF005E"/>
    <w:rsid w:val="44C053EA"/>
    <w:rsid w:val="44EF3FA1"/>
    <w:rsid w:val="45022234"/>
    <w:rsid w:val="45DC15F3"/>
    <w:rsid w:val="47971B2A"/>
    <w:rsid w:val="47BB2862"/>
    <w:rsid w:val="481839C8"/>
    <w:rsid w:val="48B7556A"/>
    <w:rsid w:val="48BA1960"/>
    <w:rsid w:val="4A1E4D34"/>
    <w:rsid w:val="4A6928CF"/>
    <w:rsid w:val="4AE2326A"/>
    <w:rsid w:val="4B090005"/>
    <w:rsid w:val="4B6A7F58"/>
    <w:rsid w:val="4B8E55CB"/>
    <w:rsid w:val="4B9C4D60"/>
    <w:rsid w:val="4BE76C27"/>
    <w:rsid w:val="4CA15D15"/>
    <w:rsid w:val="4CA31F5C"/>
    <w:rsid w:val="4CE435FA"/>
    <w:rsid w:val="4D874640"/>
    <w:rsid w:val="4D982136"/>
    <w:rsid w:val="4DF95585"/>
    <w:rsid w:val="4E3B5B4C"/>
    <w:rsid w:val="4E6A6DEE"/>
    <w:rsid w:val="4F837AE8"/>
    <w:rsid w:val="4FB40F40"/>
    <w:rsid w:val="511B4358"/>
    <w:rsid w:val="51463910"/>
    <w:rsid w:val="51662A05"/>
    <w:rsid w:val="51F56AAB"/>
    <w:rsid w:val="52184A3A"/>
    <w:rsid w:val="521A4D30"/>
    <w:rsid w:val="522B0D92"/>
    <w:rsid w:val="524121A5"/>
    <w:rsid w:val="52BD6A14"/>
    <w:rsid w:val="52C2554A"/>
    <w:rsid w:val="532D17CF"/>
    <w:rsid w:val="53C02855"/>
    <w:rsid w:val="544C70EE"/>
    <w:rsid w:val="5549749A"/>
    <w:rsid w:val="556858C1"/>
    <w:rsid w:val="569A6404"/>
    <w:rsid w:val="56AD1B2E"/>
    <w:rsid w:val="56B65F6E"/>
    <w:rsid w:val="56E96EFE"/>
    <w:rsid w:val="56ED1A87"/>
    <w:rsid w:val="56F47F88"/>
    <w:rsid w:val="57390A3A"/>
    <w:rsid w:val="58E62C24"/>
    <w:rsid w:val="59BE388F"/>
    <w:rsid w:val="5ADB080B"/>
    <w:rsid w:val="5AE4474D"/>
    <w:rsid w:val="5AFB1692"/>
    <w:rsid w:val="5B3D1AC4"/>
    <w:rsid w:val="5B40485E"/>
    <w:rsid w:val="5B8164A8"/>
    <w:rsid w:val="5B8C4BF7"/>
    <w:rsid w:val="5B984642"/>
    <w:rsid w:val="5BA578FC"/>
    <w:rsid w:val="5BDD56B3"/>
    <w:rsid w:val="5C157411"/>
    <w:rsid w:val="5C833D42"/>
    <w:rsid w:val="5C9B55DC"/>
    <w:rsid w:val="5CAA1D94"/>
    <w:rsid w:val="5CB355FD"/>
    <w:rsid w:val="5CC760D6"/>
    <w:rsid w:val="5CDA4D4A"/>
    <w:rsid w:val="5D023B36"/>
    <w:rsid w:val="5DDC580A"/>
    <w:rsid w:val="5DEA4B7C"/>
    <w:rsid w:val="5EA30D2D"/>
    <w:rsid w:val="5EB62F27"/>
    <w:rsid w:val="5F9C4303"/>
    <w:rsid w:val="5FCC41D2"/>
    <w:rsid w:val="61123537"/>
    <w:rsid w:val="614E35A8"/>
    <w:rsid w:val="61EA4B41"/>
    <w:rsid w:val="61F60197"/>
    <w:rsid w:val="61FD46BF"/>
    <w:rsid w:val="625636EB"/>
    <w:rsid w:val="62E1380A"/>
    <w:rsid w:val="630804B0"/>
    <w:rsid w:val="633B1AB1"/>
    <w:rsid w:val="63F908DB"/>
    <w:rsid w:val="640463ED"/>
    <w:rsid w:val="648160BF"/>
    <w:rsid w:val="65213F14"/>
    <w:rsid w:val="652A7CEC"/>
    <w:rsid w:val="66B25E28"/>
    <w:rsid w:val="66C57FCC"/>
    <w:rsid w:val="66DE1260"/>
    <w:rsid w:val="67346FC2"/>
    <w:rsid w:val="68076DE7"/>
    <w:rsid w:val="682775D0"/>
    <w:rsid w:val="686D62F6"/>
    <w:rsid w:val="6888169E"/>
    <w:rsid w:val="68C42C26"/>
    <w:rsid w:val="69084496"/>
    <w:rsid w:val="69242AF1"/>
    <w:rsid w:val="69556208"/>
    <w:rsid w:val="69F95B66"/>
    <w:rsid w:val="6A2B0C08"/>
    <w:rsid w:val="6A712D42"/>
    <w:rsid w:val="6AA10715"/>
    <w:rsid w:val="6AFD0950"/>
    <w:rsid w:val="6BCC113F"/>
    <w:rsid w:val="6BD576E6"/>
    <w:rsid w:val="6C6A74C0"/>
    <w:rsid w:val="6CB729EF"/>
    <w:rsid w:val="6CFB3C98"/>
    <w:rsid w:val="6D4B68C4"/>
    <w:rsid w:val="6D733D3E"/>
    <w:rsid w:val="6DFA7B7B"/>
    <w:rsid w:val="6EE30B6B"/>
    <w:rsid w:val="6EE76A9A"/>
    <w:rsid w:val="6EF22179"/>
    <w:rsid w:val="6F1D7E18"/>
    <w:rsid w:val="6F67117F"/>
    <w:rsid w:val="6F8825A6"/>
    <w:rsid w:val="6FC875BE"/>
    <w:rsid w:val="704A4B64"/>
    <w:rsid w:val="705848A2"/>
    <w:rsid w:val="706F65B5"/>
    <w:rsid w:val="70BF5615"/>
    <w:rsid w:val="70CF61DB"/>
    <w:rsid w:val="70D65DA3"/>
    <w:rsid w:val="7303574D"/>
    <w:rsid w:val="7314786D"/>
    <w:rsid w:val="735063FF"/>
    <w:rsid w:val="74A81E01"/>
    <w:rsid w:val="74D462B8"/>
    <w:rsid w:val="75602B7F"/>
    <w:rsid w:val="75FF639A"/>
    <w:rsid w:val="7609324E"/>
    <w:rsid w:val="76597BE1"/>
    <w:rsid w:val="76B36B8C"/>
    <w:rsid w:val="76D94E99"/>
    <w:rsid w:val="77475CE2"/>
    <w:rsid w:val="7A47006E"/>
    <w:rsid w:val="7B9B6839"/>
    <w:rsid w:val="7D43738C"/>
    <w:rsid w:val="7D517B66"/>
    <w:rsid w:val="7D622FF7"/>
    <w:rsid w:val="7DDC3032"/>
    <w:rsid w:val="7E2D2E9A"/>
    <w:rsid w:val="7E6F75C4"/>
    <w:rsid w:val="7EF66652"/>
    <w:rsid w:val="7F4E08B1"/>
    <w:rsid w:val="7F676BA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0" w:name="page number"/>
    <w:lsdException w:qFormat="1" w:uiPriority="0" w:name="endnote reference"/>
    <w:lsdException w:qFormat="1" w:uiPriority="0" w:name="endnote text"/>
    <w:lsdException w:uiPriority="0" w:name="table of authorities"/>
    <w:lsdException w:uiPriority="99" w:name="macro"/>
    <w:lsdException w:uiPriority="0" w:name="toa heading"/>
    <w:lsdException w:qFormat="1" w:unhideWhenUsed="0" w:uiPriority="0" w:semiHidden="0" w:name="List"/>
    <w:lsdException w:qFormat="1" w:unhideWhenUsed="0" w:uiPriority="0" w:semiHidden="0" w:name="List Bullet"/>
    <w:lsdException w:unhideWhenUsed="0" w:uiPriority="99" w:semiHidden="0" w:name="List Number"/>
    <w:lsdException w:uiPriority="99" w:name="List 2"/>
    <w:lsdException w:uiPriority="99"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nhideWhenUsed="0" w:uiPriority="9" w:semiHidden="0" w:name="Body Text Indent 3"/>
    <w:lsdException w:unhideWhenUsed="0" w:uiPriority="99" w:semiHidden="0" w:name="Block Text"/>
    <w:lsdException w:qFormat="1" w:unhideWhenUsed="0" w:uiPriority="0" w:semiHidden="0" w:name="Hyperlink"/>
    <w:lsdException w:unhideWhenUsed="0" w:uiPriority="0"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link w:val="105"/>
    <w:qFormat/>
    <w:uiPriority w:val="0"/>
    <w:pPr>
      <w:widowControl w:val="0"/>
      <w:numPr>
        <w:ilvl w:val="0"/>
        <w:numId w:val="1"/>
      </w:numPr>
      <w:pBdr>
        <w:top w:val="single" w:color="auto" w:sz="12" w:space="3"/>
      </w:pBdr>
      <w:spacing w:before="240" w:after="180"/>
      <w:outlineLvl w:val="0"/>
    </w:pPr>
    <w:rPr>
      <w:rFonts w:ascii="Arial" w:hAnsi="Arial" w:eastAsia="宋体" w:cs="Times New Roman"/>
      <w:sz w:val="36"/>
      <w:lang w:val="en-US" w:eastAsia="en-US" w:bidi="ar-SA"/>
    </w:rPr>
  </w:style>
  <w:style w:type="paragraph" w:styleId="3">
    <w:name w:val="heading 2"/>
    <w:basedOn w:val="2"/>
    <w:next w:val="1"/>
    <w:link w:val="83"/>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11"/>
    <w:qFormat/>
    <w:uiPriority w:val="0"/>
    <w:pPr>
      <w:numPr>
        <w:ilvl w:val="3"/>
      </w:numPr>
      <w:outlineLvl w:val="3"/>
    </w:pPr>
    <w:rPr>
      <w:sz w:val="24"/>
    </w:rPr>
  </w:style>
  <w:style w:type="paragraph" w:styleId="6">
    <w:name w:val="heading 5"/>
    <w:basedOn w:val="5"/>
    <w:next w:val="1"/>
    <w:link w:val="112"/>
    <w:qFormat/>
    <w:uiPriority w:val="0"/>
    <w:pPr>
      <w:numPr>
        <w:ilvl w:val="4"/>
      </w:numPr>
      <w:outlineLvl w:val="4"/>
    </w:pPr>
    <w:rPr>
      <w:sz w:val="22"/>
    </w:rPr>
  </w:style>
  <w:style w:type="paragraph" w:styleId="7">
    <w:name w:val="heading 6"/>
    <w:basedOn w:val="8"/>
    <w:next w:val="1"/>
    <w:link w:val="113"/>
    <w:qFormat/>
    <w:uiPriority w:val="0"/>
    <w:pPr>
      <w:numPr>
        <w:ilvl w:val="5"/>
      </w:numPr>
      <w:outlineLvl w:val="5"/>
    </w:pPr>
  </w:style>
  <w:style w:type="paragraph" w:styleId="9">
    <w:name w:val="heading 7"/>
    <w:basedOn w:val="8"/>
    <w:next w:val="1"/>
    <w:link w:val="114"/>
    <w:qFormat/>
    <w:uiPriority w:val="0"/>
    <w:pPr>
      <w:numPr>
        <w:ilvl w:val="6"/>
      </w:numPr>
      <w:outlineLvl w:val="6"/>
    </w:pPr>
  </w:style>
  <w:style w:type="paragraph" w:styleId="10">
    <w:name w:val="heading 8"/>
    <w:basedOn w:val="2"/>
    <w:next w:val="1"/>
    <w:link w:val="115"/>
    <w:qFormat/>
    <w:uiPriority w:val="0"/>
    <w:pPr>
      <w:numPr>
        <w:ilvl w:val="7"/>
      </w:numPr>
      <w:outlineLvl w:val="7"/>
    </w:pPr>
  </w:style>
  <w:style w:type="paragraph" w:styleId="11">
    <w:name w:val="heading 9"/>
    <w:basedOn w:val="10"/>
    <w:next w:val="1"/>
    <w:link w:val="116"/>
    <w:qFormat/>
    <w:uiPriority w:val="0"/>
    <w:pPr>
      <w:numPr>
        <w:ilvl w:val="8"/>
      </w:numPr>
      <w:outlineLvl w:val="8"/>
    </w:pPr>
  </w:style>
  <w:style w:type="character" w:default="1" w:styleId="38">
    <w:name w:val="Default Paragraph Font"/>
    <w:semiHidden/>
    <w:unhideWhenUsed/>
    <w:qFormat/>
    <w:uiPriority w:val="1"/>
  </w:style>
  <w:style w:type="table" w:default="1" w:styleId="3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toc 7"/>
    <w:basedOn w:val="13"/>
    <w:next w:val="1"/>
    <w:semiHidden/>
    <w:qFormat/>
    <w:uiPriority w:val="99"/>
    <w:pPr>
      <w:tabs>
        <w:tab w:val="right" w:leader="dot" w:pos="9639"/>
      </w:tabs>
      <w:ind w:left="2268" w:hanging="2268"/>
    </w:pPr>
  </w:style>
  <w:style w:type="paragraph" w:styleId="13">
    <w:name w:val="toc 6"/>
    <w:basedOn w:val="14"/>
    <w:next w:val="1"/>
    <w:semiHidden/>
    <w:qFormat/>
    <w:uiPriority w:val="99"/>
    <w:pPr>
      <w:tabs>
        <w:tab w:val="right" w:leader="dot" w:pos="9639"/>
      </w:tabs>
      <w:ind w:left="1985" w:hanging="1985"/>
    </w:pPr>
  </w:style>
  <w:style w:type="paragraph" w:styleId="14">
    <w:name w:val="toc 5"/>
    <w:basedOn w:val="15"/>
    <w:next w:val="1"/>
    <w:semiHidden/>
    <w:qFormat/>
    <w:uiPriority w:val="99"/>
    <w:pPr>
      <w:tabs>
        <w:tab w:val="right" w:leader="dot" w:pos="9639"/>
      </w:tabs>
      <w:ind w:left="1701" w:hanging="1701"/>
    </w:pPr>
  </w:style>
  <w:style w:type="paragraph" w:styleId="15">
    <w:name w:val="toc 4"/>
    <w:basedOn w:val="16"/>
    <w:next w:val="1"/>
    <w:semiHidden/>
    <w:qFormat/>
    <w:uiPriority w:val="99"/>
    <w:pPr>
      <w:tabs>
        <w:tab w:val="right" w:leader="dot" w:pos="9639"/>
      </w:tabs>
      <w:ind w:left="1418" w:hanging="1418"/>
    </w:pPr>
  </w:style>
  <w:style w:type="paragraph" w:styleId="16">
    <w:name w:val="toc 3"/>
    <w:basedOn w:val="17"/>
    <w:next w:val="1"/>
    <w:semiHidden/>
    <w:qFormat/>
    <w:uiPriority w:val="99"/>
    <w:pPr>
      <w:tabs>
        <w:tab w:val="right" w:leader="dot" w:pos="9639"/>
      </w:tabs>
      <w:ind w:left="1134" w:hanging="1134"/>
    </w:pPr>
  </w:style>
  <w:style w:type="paragraph" w:styleId="17">
    <w:name w:val="toc 2"/>
    <w:basedOn w:val="18"/>
    <w:next w:val="1"/>
    <w:semiHidden/>
    <w:qFormat/>
    <w:uiPriority w:val="99"/>
    <w:pPr>
      <w:keepNext w:val="0"/>
      <w:tabs>
        <w:tab w:val="right" w:leader="dot" w:pos="9639"/>
      </w:tabs>
      <w:spacing w:before="0"/>
      <w:ind w:left="851" w:hanging="851"/>
    </w:pPr>
    <w:rPr>
      <w:sz w:val="20"/>
    </w:rPr>
  </w:style>
  <w:style w:type="paragraph" w:styleId="18">
    <w:name w:val="toc 1"/>
    <w:next w:val="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caption"/>
    <w:basedOn w:val="1"/>
    <w:next w:val="1"/>
    <w:link w:val="117"/>
    <w:qFormat/>
    <w:uiPriority w:val="0"/>
    <w:rPr>
      <w:b/>
      <w:bCs/>
    </w:rPr>
  </w:style>
  <w:style w:type="paragraph" w:styleId="20">
    <w:name w:val="List Bullet"/>
    <w:basedOn w:val="21"/>
    <w:qFormat/>
    <w:uiPriority w:val="0"/>
    <w:pPr>
      <w:autoSpaceDE/>
      <w:autoSpaceDN/>
      <w:adjustRightInd/>
      <w:spacing w:after="180"/>
      <w:ind w:left="568" w:hanging="284"/>
      <w:jc w:val="left"/>
    </w:pPr>
    <w:rPr>
      <w:sz w:val="20"/>
      <w:szCs w:val="20"/>
      <w:lang w:val="en-GB"/>
    </w:rPr>
  </w:style>
  <w:style w:type="paragraph" w:styleId="21">
    <w:name w:val="List"/>
    <w:basedOn w:val="1"/>
    <w:qFormat/>
    <w:uiPriority w:val="0"/>
    <w:pPr>
      <w:autoSpaceDE w:val="0"/>
      <w:autoSpaceDN w:val="0"/>
      <w:adjustRightInd w:val="0"/>
      <w:snapToGrid w:val="0"/>
      <w:spacing w:after="120"/>
      <w:ind w:left="360" w:hanging="360"/>
    </w:pPr>
    <w:rPr>
      <w:rFonts w:ascii="Times New Roman" w:hAnsi="Times New Roman" w:eastAsia="宋体"/>
      <w:sz w:val="22"/>
      <w:szCs w:val="22"/>
      <w:lang w:val="en-US"/>
    </w:rPr>
  </w:style>
  <w:style w:type="paragraph" w:styleId="22">
    <w:name w:val="Document Map"/>
    <w:basedOn w:val="1"/>
    <w:link w:val="82"/>
    <w:qFormat/>
    <w:uiPriority w:val="99"/>
    <w:rPr>
      <w:rFonts w:ascii="Tahoma" w:hAnsi="Tahoma"/>
      <w:sz w:val="16"/>
      <w:szCs w:val="16"/>
    </w:rPr>
  </w:style>
  <w:style w:type="paragraph" w:styleId="23">
    <w:name w:val="annotation text"/>
    <w:basedOn w:val="1"/>
    <w:link w:val="84"/>
    <w:qFormat/>
    <w:uiPriority w:val="0"/>
  </w:style>
  <w:style w:type="paragraph" w:styleId="24">
    <w:name w:val="Body Text"/>
    <w:basedOn w:val="1"/>
    <w:link w:val="95"/>
    <w:qFormat/>
    <w:uiPriority w:val="0"/>
    <w:pPr>
      <w:overflowPunct w:val="0"/>
      <w:autoSpaceDE w:val="0"/>
      <w:autoSpaceDN w:val="0"/>
      <w:adjustRightInd w:val="0"/>
      <w:spacing w:after="120"/>
      <w:textAlignment w:val="baseline"/>
    </w:pPr>
    <w:rPr>
      <w:rFonts w:eastAsia="等线"/>
    </w:rPr>
  </w:style>
  <w:style w:type="paragraph" w:styleId="25">
    <w:name w:val="toc 8"/>
    <w:basedOn w:val="18"/>
    <w:next w:val="1"/>
    <w:semiHidden/>
    <w:qFormat/>
    <w:uiPriority w:val="99"/>
    <w:pPr>
      <w:spacing w:before="180"/>
      <w:ind w:left="2693" w:hanging="2693"/>
    </w:pPr>
    <w:rPr>
      <w:b/>
    </w:rPr>
  </w:style>
  <w:style w:type="paragraph" w:styleId="26">
    <w:name w:val="endnote text"/>
    <w:basedOn w:val="1"/>
    <w:link w:val="128"/>
    <w:semiHidden/>
    <w:unhideWhenUsed/>
    <w:qFormat/>
    <w:uiPriority w:val="0"/>
    <w:pPr>
      <w:autoSpaceDE w:val="0"/>
      <w:autoSpaceDN w:val="0"/>
      <w:adjustRightInd w:val="0"/>
      <w:snapToGrid w:val="0"/>
      <w:spacing w:after="120"/>
      <w:jc w:val="left"/>
    </w:pPr>
    <w:rPr>
      <w:rFonts w:ascii="Times New Roman" w:hAnsi="Times New Roman" w:eastAsia="宋体"/>
      <w:sz w:val="22"/>
      <w:szCs w:val="22"/>
    </w:rPr>
  </w:style>
  <w:style w:type="paragraph" w:styleId="27">
    <w:name w:val="Balloon Text"/>
    <w:basedOn w:val="1"/>
    <w:link w:val="81"/>
    <w:qFormat/>
    <w:uiPriority w:val="0"/>
    <w:pPr>
      <w:spacing w:after="0"/>
    </w:pPr>
    <w:rPr>
      <w:rFonts w:ascii="Segoe UI" w:hAnsi="Segoe UI"/>
      <w:sz w:val="18"/>
      <w:szCs w:val="18"/>
    </w:rPr>
  </w:style>
  <w:style w:type="paragraph" w:styleId="28">
    <w:name w:val="footer"/>
    <w:basedOn w:val="29"/>
    <w:link w:val="125"/>
    <w:qFormat/>
    <w:uiPriority w:val="0"/>
    <w:pPr>
      <w:jc w:val="center"/>
    </w:pPr>
    <w:rPr>
      <w:i/>
    </w:rPr>
  </w:style>
  <w:style w:type="paragraph" w:styleId="29">
    <w:name w:val="header"/>
    <w:link w:val="78"/>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0">
    <w:name w:val="footnote text"/>
    <w:basedOn w:val="1"/>
    <w:link w:val="121"/>
    <w:semiHidden/>
    <w:qFormat/>
    <w:uiPriority w:val="0"/>
    <w:pPr>
      <w:autoSpaceDE w:val="0"/>
      <w:autoSpaceDN w:val="0"/>
      <w:adjustRightInd w:val="0"/>
      <w:snapToGrid w:val="0"/>
      <w:spacing w:after="120"/>
    </w:pPr>
    <w:rPr>
      <w:rFonts w:ascii="Times New Roman" w:hAnsi="Times New Roman" w:eastAsia="宋体"/>
    </w:rPr>
  </w:style>
  <w:style w:type="paragraph" w:styleId="31">
    <w:name w:val="toc 9"/>
    <w:basedOn w:val="25"/>
    <w:next w:val="1"/>
    <w:semiHidden/>
    <w:qFormat/>
    <w:uiPriority w:val="99"/>
    <w:pPr>
      <w:ind w:left="1418" w:hanging="1418"/>
    </w:pPr>
  </w:style>
  <w:style w:type="paragraph" w:styleId="32">
    <w:name w:val="Body Text 2"/>
    <w:basedOn w:val="1"/>
    <w:link w:val="118"/>
    <w:qFormat/>
    <w:uiPriority w:val="0"/>
    <w:pPr>
      <w:autoSpaceDE w:val="0"/>
      <w:autoSpaceDN w:val="0"/>
      <w:adjustRightInd w:val="0"/>
      <w:snapToGrid w:val="0"/>
      <w:spacing w:after="0"/>
      <w:jc w:val="left"/>
    </w:pPr>
    <w:rPr>
      <w:rFonts w:ascii="Times New Roman" w:hAnsi="Times New Roman" w:eastAsia="宋体"/>
      <w:sz w:val="22"/>
    </w:rPr>
  </w:style>
  <w:style w:type="paragraph" w:styleId="33">
    <w:name w:val="HTML Preformatted"/>
    <w:basedOn w:val="1"/>
    <w:link w:val="99"/>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hAnsi="宋体" w:eastAsia="宋体"/>
      <w:sz w:val="24"/>
      <w:szCs w:val="24"/>
    </w:rPr>
  </w:style>
  <w:style w:type="paragraph" w:styleId="34">
    <w:name w:val="Normal (Web)"/>
    <w:basedOn w:val="1"/>
    <w:qFormat/>
    <w:uiPriority w:val="0"/>
    <w:pPr>
      <w:overflowPunct w:val="0"/>
      <w:autoSpaceDE w:val="0"/>
      <w:autoSpaceDN w:val="0"/>
      <w:adjustRightInd w:val="0"/>
      <w:spacing w:after="120"/>
      <w:textAlignment w:val="baseline"/>
    </w:pPr>
    <w:rPr>
      <w:rFonts w:eastAsia="Times New Roman"/>
      <w:sz w:val="24"/>
      <w:lang w:val="en-US" w:eastAsia="zh-CN"/>
    </w:rPr>
  </w:style>
  <w:style w:type="paragraph" w:styleId="35">
    <w:name w:val="annotation subject"/>
    <w:basedOn w:val="23"/>
    <w:next w:val="23"/>
    <w:link w:val="85"/>
    <w:qFormat/>
    <w:uiPriority w:val="0"/>
    <w:rPr>
      <w:b/>
      <w:bCs/>
    </w:rPr>
  </w:style>
  <w:style w:type="table" w:styleId="37">
    <w:name w:val="Table Grid"/>
    <w:basedOn w:val="3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endnote reference"/>
    <w:semiHidden/>
    <w:unhideWhenUsed/>
    <w:qFormat/>
    <w:uiPriority w:val="0"/>
    <w:rPr>
      <w:vertAlign w:val="superscript"/>
    </w:rPr>
  </w:style>
  <w:style w:type="character" w:styleId="40">
    <w:name w:val="Hyperlink"/>
    <w:qFormat/>
    <w:uiPriority w:val="0"/>
    <w:rPr>
      <w:color w:val="0000FF"/>
      <w:u w:val="single"/>
    </w:rPr>
  </w:style>
  <w:style w:type="character" w:styleId="41">
    <w:name w:val="annotation reference"/>
    <w:qFormat/>
    <w:uiPriority w:val="0"/>
    <w:rPr>
      <w:sz w:val="21"/>
      <w:szCs w:val="21"/>
    </w:rPr>
  </w:style>
  <w:style w:type="character" w:styleId="42">
    <w:name w:val="footnote reference"/>
    <w:semiHidden/>
    <w:qFormat/>
    <w:uiPriority w:val="0"/>
    <w:rPr>
      <w:vertAlign w:val="superscript"/>
    </w:rPr>
  </w:style>
  <w:style w:type="paragraph" w:customStyle="1" w:styleId="43">
    <w:name w:val="EQ"/>
    <w:basedOn w:val="1"/>
    <w:next w:val="1"/>
    <w:qFormat/>
    <w:uiPriority w:val="99"/>
    <w:pPr>
      <w:keepLines/>
      <w:tabs>
        <w:tab w:val="center" w:pos="4536"/>
        <w:tab w:val="right" w:pos="9072"/>
      </w:tabs>
    </w:pPr>
  </w:style>
  <w:style w:type="character" w:customStyle="1" w:styleId="44">
    <w:name w:val="ZGSM"/>
    <w:qFormat/>
    <w:uiPriority w:val="99"/>
  </w:style>
  <w:style w:type="paragraph" w:customStyle="1" w:styleId="45">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46">
    <w:name w:val="TT"/>
    <w:basedOn w:val="2"/>
    <w:next w:val="1"/>
    <w:qFormat/>
    <w:uiPriority w:val="99"/>
    <w:pPr>
      <w:outlineLvl w:val="9"/>
    </w:pPr>
  </w:style>
  <w:style w:type="paragraph" w:customStyle="1" w:styleId="47">
    <w:name w:val="NF"/>
    <w:basedOn w:val="48"/>
    <w:qFormat/>
    <w:uiPriority w:val="99"/>
    <w:pPr>
      <w:keepNext/>
      <w:spacing w:after="0"/>
    </w:pPr>
    <w:rPr>
      <w:sz w:val="18"/>
    </w:rPr>
  </w:style>
  <w:style w:type="paragraph" w:customStyle="1" w:styleId="48">
    <w:name w:val="NO"/>
    <w:basedOn w:val="1"/>
    <w:link w:val="129"/>
    <w:qFormat/>
    <w:uiPriority w:val="0"/>
    <w:pPr>
      <w:keepLines/>
      <w:ind w:left="1135" w:hanging="851"/>
    </w:pPr>
  </w:style>
  <w:style w:type="paragraph" w:customStyle="1" w:styleId="49">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50">
    <w:name w:val="TAR"/>
    <w:basedOn w:val="51"/>
    <w:qFormat/>
    <w:uiPriority w:val="99"/>
    <w:pPr>
      <w:jc w:val="right"/>
    </w:pPr>
  </w:style>
  <w:style w:type="paragraph" w:customStyle="1" w:styleId="51">
    <w:name w:val="TAL"/>
    <w:basedOn w:val="1"/>
    <w:link w:val="96"/>
    <w:qFormat/>
    <w:uiPriority w:val="0"/>
    <w:pPr>
      <w:keepNext/>
      <w:keepLines/>
      <w:spacing w:after="0"/>
    </w:pPr>
    <w:rPr>
      <w:sz w:val="18"/>
    </w:rPr>
  </w:style>
  <w:style w:type="paragraph" w:customStyle="1" w:styleId="52">
    <w:name w:val="TAH"/>
    <w:basedOn w:val="53"/>
    <w:link w:val="97"/>
    <w:qFormat/>
    <w:uiPriority w:val="0"/>
    <w:rPr>
      <w:b/>
    </w:rPr>
  </w:style>
  <w:style w:type="paragraph" w:customStyle="1" w:styleId="53">
    <w:name w:val="TAC"/>
    <w:basedOn w:val="51"/>
    <w:link w:val="127"/>
    <w:qFormat/>
    <w:uiPriority w:val="0"/>
    <w:pPr>
      <w:jc w:val="center"/>
    </w:pPr>
  </w:style>
  <w:style w:type="paragraph" w:customStyle="1" w:styleId="54">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55">
    <w:name w:val="EX"/>
    <w:basedOn w:val="1"/>
    <w:qFormat/>
    <w:uiPriority w:val="99"/>
    <w:pPr>
      <w:keepLines/>
      <w:ind w:left="1702" w:hanging="1418"/>
    </w:pPr>
  </w:style>
  <w:style w:type="paragraph" w:customStyle="1" w:styleId="56">
    <w:name w:val="FP"/>
    <w:basedOn w:val="1"/>
    <w:qFormat/>
    <w:uiPriority w:val="99"/>
    <w:pPr>
      <w:spacing w:after="0"/>
    </w:pPr>
  </w:style>
  <w:style w:type="paragraph" w:customStyle="1" w:styleId="57">
    <w:name w:val="NW"/>
    <w:basedOn w:val="48"/>
    <w:qFormat/>
    <w:uiPriority w:val="99"/>
    <w:pPr>
      <w:spacing w:after="0"/>
    </w:pPr>
  </w:style>
  <w:style w:type="paragraph" w:customStyle="1" w:styleId="58">
    <w:name w:val="EW"/>
    <w:basedOn w:val="55"/>
    <w:qFormat/>
    <w:uiPriority w:val="99"/>
    <w:pPr>
      <w:spacing w:after="0"/>
    </w:pPr>
  </w:style>
  <w:style w:type="paragraph" w:customStyle="1" w:styleId="59">
    <w:name w:val="B1"/>
    <w:basedOn w:val="21"/>
    <w:link w:val="93"/>
    <w:qFormat/>
    <w:uiPriority w:val="0"/>
    <w:pPr>
      <w:ind w:left="568" w:hanging="284"/>
    </w:pPr>
  </w:style>
  <w:style w:type="paragraph" w:customStyle="1" w:styleId="60">
    <w:name w:val="Editor's Note"/>
    <w:basedOn w:val="48"/>
    <w:qFormat/>
    <w:uiPriority w:val="0"/>
    <w:rPr>
      <w:color w:val="FF0000"/>
    </w:rPr>
  </w:style>
  <w:style w:type="paragraph" w:customStyle="1" w:styleId="61">
    <w:name w:val="TH"/>
    <w:basedOn w:val="1"/>
    <w:link w:val="92"/>
    <w:qFormat/>
    <w:uiPriority w:val="0"/>
    <w:pPr>
      <w:keepNext/>
      <w:keepLines/>
      <w:spacing w:before="60"/>
      <w:jc w:val="center"/>
    </w:pPr>
    <w:rPr>
      <w:b/>
    </w:rPr>
  </w:style>
  <w:style w:type="paragraph" w:customStyle="1" w:styleId="62">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3">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4">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5">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6">
    <w:name w:val="TAN"/>
    <w:basedOn w:val="51"/>
    <w:link w:val="131"/>
    <w:qFormat/>
    <w:uiPriority w:val="0"/>
    <w:pPr>
      <w:ind w:left="851" w:hanging="851"/>
    </w:pPr>
  </w:style>
  <w:style w:type="paragraph" w:customStyle="1" w:styleId="67">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8">
    <w:name w:val="TF"/>
    <w:basedOn w:val="61"/>
    <w:link w:val="104"/>
    <w:qFormat/>
    <w:uiPriority w:val="0"/>
    <w:pPr>
      <w:keepNext w:val="0"/>
      <w:spacing w:before="0" w:after="240"/>
    </w:pPr>
  </w:style>
  <w:style w:type="paragraph" w:customStyle="1" w:styleId="69">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0">
    <w:name w:val="B2"/>
    <w:basedOn w:val="1"/>
    <w:link w:val="133"/>
    <w:qFormat/>
    <w:uiPriority w:val="0"/>
    <w:pPr>
      <w:ind w:left="851" w:hanging="284"/>
    </w:pPr>
  </w:style>
  <w:style w:type="paragraph" w:customStyle="1" w:styleId="71">
    <w:name w:val="B3"/>
    <w:basedOn w:val="1"/>
    <w:qFormat/>
    <w:uiPriority w:val="0"/>
    <w:pPr>
      <w:ind w:left="1135" w:hanging="284"/>
    </w:pPr>
  </w:style>
  <w:style w:type="paragraph" w:customStyle="1" w:styleId="72">
    <w:name w:val="B4"/>
    <w:basedOn w:val="1"/>
    <w:qFormat/>
    <w:uiPriority w:val="99"/>
    <w:pPr>
      <w:ind w:left="1418" w:hanging="284"/>
    </w:pPr>
  </w:style>
  <w:style w:type="paragraph" w:customStyle="1" w:styleId="73">
    <w:name w:val="B5"/>
    <w:basedOn w:val="1"/>
    <w:qFormat/>
    <w:uiPriority w:val="99"/>
    <w:pPr>
      <w:ind w:left="1702" w:hanging="284"/>
    </w:pPr>
  </w:style>
  <w:style w:type="paragraph" w:customStyle="1" w:styleId="74">
    <w:name w:val="ZTD"/>
    <w:basedOn w:val="63"/>
    <w:qFormat/>
    <w:uiPriority w:val="99"/>
    <w:pPr>
      <w:framePr w:hRule="auto" w:y="852"/>
    </w:pPr>
    <w:rPr>
      <w:i w:val="0"/>
      <w:sz w:val="40"/>
    </w:rPr>
  </w:style>
  <w:style w:type="paragraph" w:customStyle="1" w:styleId="75">
    <w:name w:val="ZV"/>
    <w:basedOn w:val="65"/>
    <w:qFormat/>
    <w:uiPriority w:val="99"/>
    <w:pPr>
      <w:framePr w:y="16161"/>
    </w:pPr>
  </w:style>
  <w:style w:type="paragraph" w:customStyle="1" w:styleId="76">
    <w:name w:val="TAJ"/>
    <w:basedOn w:val="61"/>
    <w:qFormat/>
    <w:uiPriority w:val="99"/>
  </w:style>
  <w:style w:type="paragraph" w:customStyle="1" w:styleId="77">
    <w:name w:val="Guidance"/>
    <w:basedOn w:val="1"/>
    <w:qFormat/>
    <w:uiPriority w:val="99"/>
    <w:rPr>
      <w:i/>
      <w:color w:val="0000FF"/>
    </w:rPr>
  </w:style>
  <w:style w:type="character" w:customStyle="1" w:styleId="78">
    <w:name w:val="页眉 Char"/>
    <w:link w:val="29"/>
    <w:qFormat/>
    <w:uiPriority w:val="0"/>
    <w:rPr>
      <w:rFonts w:ascii="Arial" w:hAnsi="Arial"/>
      <w:b/>
      <w:sz w:val="18"/>
      <w:lang w:val="en-GB" w:eastAsia="ja-JP" w:bidi="ar-SA"/>
    </w:rPr>
  </w:style>
  <w:style w:type="paragraph" w:customStyle="1" w:styleId="79">
    <w:name w:val="CR Cover Page"/>
    <w:link w:val="130"/>
    <w:qFormat/>
    <w:uiPriority w:val="0"/>
    <w:pPr>
      <w:spacing w:after="120"/>
    </w:pPr>
    <w:rPr>
      <w:rFonts w:ascii="Arial" w:hAnsi="Arial" w:eastAsia="MS Mincho" w:cs="Times New Roman"/>
      <w:lang w:val="en-GB" w:eastAsia="en-US" w:bidi="ar-SA"/>
    </w:rPr>
  </w:style>
  <w:style w:type="paragraph" w:customStyle="1" w:styleId="80">
    <w:name w:val="00 BodyText"/>
    <w:basedOn w:val="1"/>
    <w:qFormat/>
    <w:uiPriority w:val="99"/>
    <w:pPr>
      <w:spacing w:after="220"/>
    </w:pPr>
    <w:rPr>
      <w:sz w:val="22"/>
      <w:lang w:val="en-US"/>
    </w:rPr>
  </w:style>
  <w:style w:type="character" w:customStyle="1" w:styleId="81">
    <w:name w:val="批注框文本 Char"/>
    <w:link w:val="27"/>
    <w:qFormat/>
    <w:uiPriority w:val="0"/>
    <w:rPr>
      <w:rFonts w:ascii="Segoe UI" w:hAnsi="Segoe UI" w:eastAsia="Arial Unicode MS"/>
      <w:sz w:val="18"/>
      <w:szCs w:val="18"/>
      <w:lang w:val="en-GB"/>
    </w:rPr>
  </w:style>
  <w:style w:type="character" w:customStyle="1" w:styleId="82">
    <w:name w:val="文档结构图 Char"/>
    <w:link w:val="22"/>
    <w:qFormat/>
    <w:uiPriority w:val="99"/>
    <w:rPr>
      <w:rFonts w:ascii="Tahoma" w:hAnsi="Tahoma" w:eastAsia="Arial Unicode MS"/>
      <w:sz w:val="16"/>
      <w:szCs w:val="16"/>
      <w:lang w:val="en-GB"/>
    </w:rPr>
  </w:style>
  <w:style w:type="character" w:customStyle="1" w:styleId="83">
    <w:name w:val="标题 2 Char"/>
    <w:link w:val="3"/>
    <w:qFormat/>
    <w:uiPriority w:val="0"/>
    <w:rPr>
      <w:rFonts w:ascii="Arial" w:hAnsi="Arial"/>
      <w:sz w:val="32"/>
      <w:lang w:eastAsia="en-US"/>
    </w:rPr>
  </w:style>
  <w:style w:type="character" w:customStyle="1" w:styleId="84">
    <w:name w:val="批注文字 Char"/>
    <w:link w:val="23"/>
    <w:qFormat/>
    <w:uiPriority w:val="0"/>
    <w:rPr>
      <w:rFonts w:ascii="Arial" w:hAnsi="Arial" w:eastAsia="Arial Unicode MS"/>
      <w:lang w:val="en-GB" w:eastAsia="en-US"/>
    </w:rPr>
  </w:style>
  <w:style w:type="character" w:customStyle="1" w:styleId="85">
    <w:name w:val="批注主题 Char"/>
    <w:link w:val="35"/>
    <w:qFormat/>
    <w:uiPriority w:val="0"/>
    <w:rPr>
      <w:rFonts w:ascii="Arial" w:hAnsi="Arial" w:eastAsia="Arial Unicode MS"/>
      <w:b/>
      <w:bCs/>
      <w:lang w:val="en-GB" w:eastAsia="en-US"/>
    </w:rPr>
  </w:style>
  <w:style w:type="paragraph" w:customStyle="1" w:styleId="86">
    <w:name w:val="彩色底纹 - 强调文字颜色 11"/>
    <w:hidden/>
    <w:qFormat/>
    <w:uiPriority w:val="71"/>
    <w:rPr>
      <w:rFonts w:ascii="Times New Roman" w:hAnsi="Times New Roman" w:eastAsia="宋体" w:cs="Times New Roman"/>
      <w:lang w:val="en-GB" w:eastAsia="en-US" w:bidi="ar-SA"/>
    </w:rPr>
  </w:style>
  <w:style w:type="character" w:styleId="87">
    <w:name w:val="Placeholder Text"/>
    <w:semiHidden/>
    <w:qFormat/>
    <w:uiPriority w:val="99"/>
    <w:rPr>
      <w:color w:val="808080"/>
    </w:rPr>
  </w:style>
  <w:style w:type="paragraph" w:styleId="88">
    <w:name w:val="List Paragraph"/>
    <w:basedOn w:val="1"/>
    <w:link w:val="109"/>
    <w:qFormat/>
    <w:uiPriority w:val="34"/>
    <w:pPr>
      <w:ind w:left="720"/>
      <w:contextualSpacing/>
    </w:pPr>
  </w:style>
  <w:style w:type="paragraph" w:customStyle="1" w:styleId="89">
    <w:name w:val="Doc-text2"/>
    <w:basedOn w:val="1"/>
    <w:link w:val="90"/>
    <w:qFormat/>
    <w:uiPriority w:val="0"/>
    <w:pPr>
      <w:tabs>
        <w:tab w:val="left" w:pos="1622"/>
      </w:tabs>
      <w:spacing w:after="0"/>
      <w:ind w:left="1622" w:hanging="363"/>
      <w:jc w:val="left"/>
    </w:pPr>
    <w:rPr>
      <w:rFonts w:eastAsia="MS Mincho"/>
      <w:szCs w:val="24"/>
      <w:lang w:eastAsia="en-GB"/>
    </w:rPr>
  </w:style>
  <w:style w:type="character" w:customStyle="1" w:styleId="90">
    <w:name w:val="Doc-text2 Char"/>
    <w:link w:val="89"/>
    <w:qFormat/>
    <w:uiPriority w:val="0"/>
    <w:rPr>
      <w:rFonts w:ascii="Arial" w:hAnsi="Arial" w:eastAsia="MS Mincho"/>
      <w:szCs w:val="24"/>
      <w:lang w:val="en-GB" w:eastAsia="en-GB"/>
    </w:rPr>
  </w:style>
  <w:style w:type="character" w:customStyle="1" w:styleId="91">
    <w:name w:val="PL Char"/>
    <w:link w:val="49"/>
    <w:qFormat/>
    <w:uiPriority w:val="0"/>
    <w:rPr>
      <w:rFonts w:ascii="Courier New" w:hAnsi="Courier New"/>
      <w:sz w:val="16"/>
      <w:lang w:val="en-GB" w:eastAsia="en-US" w:bidi="ar-SA"/>
    </w:rPr>
  </w:style>
  <w:style w:type="character" w:customStyle="1" w:styleId="92">
    <w:name w:val="TH Char"/>
    <w:link w:val="61"/>
    <w:qFormat/>
    <w:uiPriority w:val="0"/>
    <w:rPr>
      <w:rFonts w:ascii="Arial" w:hAnsi="Arial" w:eastAsia="Arial Unicode MS"/>
      <w:b/>
      <w:lang w:val="en-GB" w:eastAsia="en-US"/>
    </w:rPr>
  </w:style>
  <w:style w:type="character" w:customStyle="1" w:styleId="93">
    <w:name w:val="B1 Char1"/>
    <w:link w:val="59"/>
    <w:qFormat/>
    <w:uiPriority w:val="0"/>
    <w:rPr>
      <w:rFonts w:ascii="Arial" w:hAnsi="Arial" w:eastAsia="Arial Unicode MS"/>
      <w:lang w:val="en-GB" w:eastAsia="en-US"/>
    </w:rPr>
  </w:style>
  <w:style w:type="paragraph" w:customStyle="1" w:styleId="94">
    <w:name w:val="Heading 1b"/>
    <w:basedOn w:val="2"/>
    <w:qFormat/>
    <w:uiPriority w:val="0"/>
    <w:pPr>
      <w:keepNext/>
      <w:keepLines/>
      <w:widowControl/>
      <w:numPr>
        <w:numId w:val="2"/>
      </w:numPr>
      <w:tabs>
        <w:tab w:val="left" w:pos="420"/>
      </w:tabs>
    </w:pPr>
    <w:rPr>
      <w:rFonts w:eastAsia="MS Mincho"/>
    </w:rPr>
  </w:style>
  <w:style w:type="character" w:customStyle="1" w:styleId="95">
    <w:name w:val="正文文本 Char"/>
    <w:link w:val="24"/>
    <w:qFormat/>
    <w:uiPriority w:val="0"/>
    <w:rPr>
      <w:rFonts w:ascii="Arial" w:hAnsi="Arial" w:eastAsia="等线"/>
      <w:lang w:val="en-GB"/>
    </w:rPr>
  </w:style>
  <w:style w:type="character" w:customStyle="1" w:styleId="96">
    <w:name w:val="TAL Car"/>
    <w:link w:val="51"/>
    <w:qFormat/>
    <w:uiPriority w:val="0"/>
    <w:rPr>
      <w:rFonts w:ascii="Arial" w:hAnsi="Arial" w:eastAsia="Arial Unicode MS"/>
      <w:sz w:val="18"/>
      <w:lang w:val="en-GB" w:eastAsia="en-US"/>
    </w:rPr>
  </w:style>
  <w:style w:type="character" w:customStyle="1" w:styleId="97">
    <w:name w:val="TAH Car"/>
    <w:link w:val="52"/>
    <w:qFormat/>
    <w:locked/>
    <w:uiPriority w:val="0"/>
    <w:rPr>
      <w:rFonts w:ascii="Arial" w:hAnsi="Arial" w:eastAsia="Arial Unicode MS"/>
      <w:b/>
      <w:sz w:val="18"/>
      <w:lang w:val="en-GB" w:eastAsia="en-US"/>
    </w:rPr>
  </w:style>
  <w:style w:type="paragraph" w:customStyle="1" w:styleId="98">
    <w:name w:val="Proposal"/>
    <w:basedOn w:val="24"/>
    <w:qFormat/>
    <w:uiPriority w:val="0"/>
    <w:pPr>
      <w:numPr>
        <w:ilvl w:val="0"/>
        <w:numId w:val="3"/>
      </w:numPr>
      <w:tabs>
        <w:tab w:val="left" w:pos="360"/>
        <w:tab w:val="left" w:pos="1701"/>
        <w:tab w:val="clear" w:pos="1304"/>
      </w:tabs>
      <w:ind w:left="1701" w:hanging="1701"/>
    </w:pPr>
    <w:rPr>
      <w:b/>
      <w:bCs/>
    </w:rPr>
  </w:style>
  <w:style w:type="character" w:customStyle="1" w:styleId="99">
    <w:name w:val="HTML 预设格式 Char"/>
    <w:link w:val="33"/>
    <w:semiHidden/>
    <w:qFormat/>
    <w:uiPriority w:val="99"/>
    <w:rPr>
      <w:rFonts w:ascii="宋体" w:hAnsi="宋体" w:cs="宋体"/>
      <w:sz w:val="24"/>
      <w:szCs w:val="24"/>
    </w:rPr>
  </w:style>
  <w:style w:type="character" w:customStyle="1" w:styleId="100">
    <w:name w:val="grey"/>
    <w:qFormat/>
    <w:uiPriority w:val="0"/>
  </w:style>
  <w:style w:type="paragraph" w:customStyle="1" w:styleId="101">
    <w:name w:val="Comments"/>
    <w:basedOn w:val="1"/>
    <w:link w:val="102"/>
    <w:qFormat/>
    <w:uiPriority w:val="0"/>
    <w:pPr>
      <w:spacing w:before="40" w:after="0"/>
      <w:jc w:val="left"/>
    </w:pPr>
    <w:rPr>
      <w:rFonts w:eastAsia="MS Mincho"/>
      <w:i/>
      <w:sz w:val="18"/>
      <w:szCs w:val="24"/>
      <w:lang w:eastAsia="en-GB"/>
    </w:rPr>
  </w:style>
  <w:style w:type="character" w:customStyle="1" w:styleId="102">
    <w:name w:val="Comments Char"/>
    <w:link w:val="101"/>
    <w:qFormat/>
    <w:uiPriority w:val="0"/>
    <w:rPr>
      <w:rFonts w:ascii="Arial" w:hAnsi="Arial" w:eastAsia="MS Mincho"/>
      <w:i/>
      <w:sz w:val="18"/>
      <w:szCs w:val="24"/>
      <w:lang w:val="en-GB" w:eastAsia="en-GB"/>
    </w:rPr>
  </w:style>
  <w:style w:type="paragraph" w:styleId="103">
    <w:name w:val="No Spacing"/>
    <w:basedOn w:val="1"/>
    <w:qFormat/>
    <w:uiPriority w:val="0"/>
    <w:pPr>
      <w:suppressAutoHyphens/>
      <w:spacing w:after="0"/>
      <w:jc w:val="left"/>
    </w:pPr>
    <w:rPr>
      <w:rFonts w:ascii="Calibri" w:hAnsi="Calibri" w:eastAsia="Calibri"/>
      <w:sz w:val="22"/>
      <w:szCs w:val="22"/>
      <w:lang w:eastAsia="zh-CN"/>
    </w:rPr>
  </w:style>
  <w:style w:type="character" w:customStyle="1" w:styleId="104">
    <w:name w:val="TF Char"/>
    <w:link w:val="68"/>
    <w:qFormat/>
    <w:uiPriority w:val="0"/>
    <w:rPr>
      <w:rFonts w:ascii="Arial" w:hAnsi="Arial" w:eastAsia="Arial Unicode MS"/>
      <w:b/>
      <w:lang w:val="en-GB" w:eastAsia="en-US"/>
    </w:rPr>
  </w:style>
  <w:style w:type="character" w:customStyle="1" w:styleId="105">
    <w:name w:val="标题 1 Char"/>
    <w:link w:val="2"/>
    <w:qFormat/>
    <w:uiPriority w:val="0"/>
    <w:rPr>
      <w:rFonts w:ascii="Arial" w:hAnsi="Arial"/>
      <w:sz w:val="36"/>
      <w:lang w:eastAsia="en-US"/>
    </w:rPr>
  </w:style>
  <w:style w:type="character" w:customStyle="1" w:styleId="106">
    <w:name w:val="标题 3 Char"/>
    <w:link w:val="4"/>
    <w:qFormat/>
    <w:uiPriority w:val="0"/>
    <w:rPr>
      <w:rFonts w:ascii="Arial" w:hAnsi="Arial"/>
      <w:sz w:val="28"/>
      <w:lang w:eastAsia="en-US"/>
    </w:rPr>
  </w:style>
  <w:style w:type="paragraph" w:customStyle="1" w:styleId="107">
    <w:name w:val="Agreement"/>
    <w:basedOn w:val="1"/>
    <w:next w:val="89"/>
    <w:qFormat/>
    <w:uiPriority w:val="0"/>
    <w:pPr>
      <w:numPr>
        <w:ilvl w:val="0"/>
        <w:numId w:val="4"/>
      </w:numPr>
      <w:spacing w:before="60" w:after="0"/>
      <w:jc w:val="left"/>
    </w:pPr>
    <w:rPr>
      <w:rFonts w:eastAsia="MS Mincho"/>
      <w:b/>
      <w:szCs w:val="24"/>
      <w:lang w:eastAsia="en-GB"/>
    </w:rPr>
  </w:style>
  <w:style w:type="paragraph" w:customStyle="1" w:styleId="108">
    <w:name w:val="DECISION"/>
    <w:basedOn w:val="1"/>
    <w:qFormat/>
    <w:uiPriority w:val="0"/>
    <w:pPr>
      <w:widowControl w:val="0"/>
      <w:numPr>
        <w:ilvl w:val="0"/>
        <w:numId w:val="5"/>
      </w:numPr>
      <w:spacing w:before="120" w:after="120"/>
    </w:pPr>
    <w:rPr>
      <w:rFonts w:eastAsia="宋体"/>
      <w:b/>
      <w:color w:val="0000FF"/>
      <w:u w:val="single"/>
    </w:rPr>
  </w:style>
  <w:style w:type="character" w:customStyle="1" w:styleId="109">
    <w:name w:val="列出段落 Char"/>
    <w:link w:val="88"/>
    <w:qFormat/>
    <w:locked/>
    <w:uiPriority w:val="34"/>
    <w:rPr>
      <w:rFonts w:ascii="Arial" w:hAnsi="Arial" w:eastAsia="Arial Unicode MS"/>
      <w:lang w:val="en-GB" w:eastAsia="en-US"/>
    </w:rPr>
  </w:style>
  <w:style w:type="character" w:customStyle="1" w:styleId="110">
    <w:name w:val="TAL Char"/>
    <w:qFormat/>
    <w:uiPriority w:val="0"/>
    <w:rPr>
      <w:rFonts w:ascii="Arial" w:hAnsi="Arial"/>
      <w:color w:val="000000"/>
      <w:sz w:val="18"/>
      <w:lang w:val="en-GB" w:eastAsia="ja-JP"/>
    </w:rPr>
  </w:style>
  <w:style w:type="character" w:customStyle="1" w:styleId="111">
    <w:name w:val="标题 4 Char"/>
    <w:link w:val="5"/>
    <w:qFormat/>
    <w:uiPriority w:val="0"/>
    <w:rPr>
      <w:rFonts w:ascii="Arial" w:hAnsi="Arial"/>
      <w:sz w:val="24"/>
      <w:lang w:eastAsia="en-US"/>
    </w:rPr>
  </w:style>
  <w:style w:type="character" w:customStyle="1" w:styleId="112">
    <w:name w:val="标题 5 Char"/>
    <w:link w:val="6"/>
    <w:qFormat/>
    <w:uiPriority w:val="0"/>
    <w:rPr>
      <w:rFonts w:ascii="Arial" w:hAnsi="Arial"/>
      <w:sz w:val="22"/>
      <w:lang w:eastAsia="en-US"/>
    </w:rPr>
  </w:style>
  <w:style w:type="character" w:customStyle="1" w:styleId="113">
    <w:name w:val="标题 6 Char"/>
    <w:link w:val="7"/>
    <w:qFormat/>
    <w:uiPriority w:val="0"/>
    <w:rPr>
      <w:rFonts w:ascii="Arial" w:hAnsi="Arial"/>
      <w:lang w:eastAsia="en-US"/>
    </w:rPr>
  </w:style>
  <w:style w:type="character" w:customStyle="1" w:styleId="114">
    <w:name w:val="标题 7 Char"/>
    <w:link w:val="9"/>
    <w:qFormat/>
    <w:uiPriority w:val="0"/>
    <w:rPr>
      <w:rFonts w:ascii="Arial" w:hAnsi="Arial"/>
      <w:lang w:eastAsia="en-US"/>
    </w:rPr>
  </w:style>
  <w:style w:type="character" w:customStyle="1" w:styleId="115">
    <w:name w:val="标题 8 Char"/>
    <w:link w:val="10"/>
    <w:qFormat/>
    <w:uiPriority w:val="0"/>
    <w:rPr>
      <w:rFonts w:ascii="Arial" w:hAnsi="Arial"/>
      <w:sz w:val="36"/>
      <w:lang w:eastAsia="en-US"/>
    </w:rPr>
  </w:style>
  <w:style w:type="character" w:customStyle="1" w:styleId="116">
    <w:name w:val="标题 9 Char"/>
    <w:link w:val="11"/>
    <w:qFormat/>
    <w:uiPriority w:val="0"/>
    <w:rPr>
      <w:rFonts w:ascii="Arial" w:hAnsi="Arial"/>
      <w:sz w:val="36"/>
      <w:lang w:eastAsia="en-US"/>
    </w:rPr>
  </w:style>
  <w:style w:type="character" w:customStyle="1" w:styleId="117">
    <w:name w:val="题注 Char"/>
    <w:link w:val="19"/>
    <w:qFormat/>
    <w:uiPriority w:val="0"/>
    <w:rPr>
      <w:rFonts w:ascii="Arial" w:hAnsi="Arial" w:eastAsia="Arial Unicode MS"/>
      <w:b/>
      <w:bCs/>
      <w:lang w:val="en-GB" w:eastAsia="en-US"/>
    </w:rPr>
  </w:style>
  <w:style w:type="character" w:customStyle="1" w:styleId="118">
    <w:name w:val="正文文本 2 Char"/>
    <w:link w:val="32"/>
    <w:qFormat/>
    <w:uiPriority w:val="0"/>
    <w:rPr>
      <w:sz w:val="22"/>
      <w:lang w:eastAsia="en-US"/>
    </w:rPr>
  </w:style>
  <w:style w:type="paragraph" w:customStyle="1" w:styleId="119">
    <w:name w:val="References"/>
    <w:basedOn w:val="1"/>
    <w:qFormat/>
    <w:uiPriority w:val="0"/>
    <w:pPr>
      <w:numPr>
        <w:ilvl w:val="0"/>
        <w:numId w:val="6"/>
      </w:numPr>
      <w:autoSpaceDE w:val="0"/>
      <w:autoSpaceDN w:val="0"/>
      <w:snapToGrid w:val="0"/>
      <w:spacing w:after="60"/>
    </w:pPr>
    <w:rPr>
      <w:rFonts w:ascii="Times New Roman" w:hAnsi="Times New Roman" w:eastAsia="宋体"/>
      <w:szCs w:val="16"/>
      <w:lang w:val="en-US"/>
    </w:rPr>
  </w:style>
  <w:style w:type="character" w:customStyle="1" w:styleId="120">
    <w:name w:val="访问过的超链接"/>
    <w:qFormat/>
    <w:uiPriority w:val="0"/>
    <w:rPr>
      <w:color w:val="800080"/>
      <w:u w:val="single"/>
    </w:rPr>
  </w:style>
  <w:style w:type="character" w:customStyle="1" w:styleId="121">
    <w:name w:val="脚注文本 Char"/>
    <w:link w:val="30"/>
    <w:semiHidden/>
    <w:qFormat/>
    <w:uiPriority w:val="0"/>
    <w:rPr>
      <w:lang w:eastAsia="en-US"/>
    </w:rPr>
  </w:style>
  <w:style w:type="paragraph" w:customStyle="1" w:styleId="122">
    <w:name w:val="Figure"/>
    <w:basedOn w:val="1"/>
    <w:qFormat/>
    <w:uiPriority w:val="0"/>
    <w:pPr>
      <w:keepNext/>
      <w:autoSpaceDE w:val="0"/>
      <w:autoSpaceDN w:val="0"/>
      <w:adjustRightInd w:val="0"/>
      <w:snapToGrid w:val="0"/>
      <w:spacing w:after="120"/>
      <w:jc w:val="center"/>
    </w:pPr>
    <w:rPr>
      <w:rFonts w:ascii="Times New Roman" w:hAnsi="Times New Roman" w:eastAsia="宋体"/>
      <w:sz w:val="22"/>
      <w:szCs w:val="22"/>
      <w:lang w:val="en-US"/>
    </w:rPr>
  </w:style>
  <w:style w:type="paragraph" w:customStyle="1" w:styleId="123">
    <w:name w:val="Eqn"/>
    <w:basedOn w:val="1"/>
    <w:qFormat/>
    <w:uiPriority w:val="0"/>
    <w:pPr>
      <w:tabs>
        <w:tab w:val="center" w:pos="4608"/>
        <w:tab w:val="right" w:pos="9216"/>
      </w:tabs>
      <w:autoSpaceDE w:val="0"/>
      <w:autoSpaceDN w:val="0"/>
      <w:adjustRightInd w:val="0"/>
      <w:snapToGrid w:val="0"/>
      <w:spacing w:after="120"/>
    </w:pPr>
    <w:rPr>
      <w:rFonts w:ascii="Times New Roman" w:hAnsi="Times New Roman" w:eastAsia="宋体"/>
      <w:sz w:val="22"/>
      <w:szCs w:val="22"/>
      <w:lang w:val="en-US" w:eastAsia="ja-JP"/>
    </w:rPr>
  </w:style>
  <w:style w:type="paragraph" w:customStyle="1" w:styleId="124">
    <w:name w:val="tablecell"/>
    <w:basedOn w:val="1"/>
    <w:qFormat/>
    <w:uiPriority w:val="0"/>
    <w:pPr>
      <w:autoSpaceDE w:val="0"/>
      <w:autoSpaceDN w:val="0"/>
      <w:adjustRightInd w:val="0"/>
      <w:snapToGrid w:val="0"/>
      <w:spacing w:before="20" w:after="20"/>
      <w:jc w:val="left"/>
    </w:pPr>
    <w:rPr>
      <w:rFonts w:ascii="Times New Roman" w:hAnsi="Times New Roman" w:eastAsia="宋体"/>
      <w:sz w:val="22"/>
      <w:szCs w:val="22"/>
      <w:lang w:val="en-US"/>
    </w:rPr>
  </w:style>
  <w:style w:type="character" w:customStyle="1" w:styleId="125">
    <w:name w:val="页脚 Char"/>
    <w:link w:val="28"/>
    <w:qFormat/>
    <w:uiPriority w:val="0"/>
    <w:rPr>
      <w:rFonts w:ascii="Arial" w:hAnsi="Arial"/>
      <w:b/>
      <w:i/>
      <w:sz w:val="18"/>
      <w:lang w:val="en-GB" w:eastAsia="ja-JP"/>
    </w:rPr>
  </w:style>
  <w:style w:type="paragraph" w:customStyle="1" w:styleId="126">
    <w:name w:val="tablecol"/>
    <w:basedOn w:val="124"/>
    <w:qFormat/>
    <w:uiPriority w:val="0"/>
    <w:pPr>
      <w:jc w:val="center"/>
    </w:pPr>
    <w:rPr>
      <w:b/>
    </w:rPr>
  </w:style>
  <w:style w:type="character" w:customStyle="1" w:styleId="127">
    <w:name w:val="TAC Char"/>
    <w:link w:val="53"/>
    <w:qFormat/>
    <w:uiPriority w:val="0"/>
    <w:rPr>
      <w:rFonts w:ascii="Arial" w:hAnsi="Arial" w:eastAsia="Arial Unicode MS"/>
      <w:sz w:val="18"/>
      <w:lang w:val="en-GB" w:eastAsia="en-US"/>
    </w:rPr>
  </w:style>
  <w:style w:type="character" w:customStyle="1" w:styleId="128">
    <w:name w:val="尾注文本 Char"/>
    <w:link w:val="26"/>
    <w:semiHidden/>
    <w:qFormat/>
    <w:uiPriority w:val="0"/>
    <w:rPr>
      <w:sz w:val="22"/>
      <w:szCs w:val="22"/>
      <w:lang w:eastAsia="en-US"/>
    </w:rPr>
  </w:style>
  <w:style w:type="character" w:customStyle="1" w:styleId="129">
    <w:name w:val="NO Char"/>
    <w:link w:val="48"/>
    <w:qFormat/>
    <w:uiPriority w:val="0"/>
    <w:rPr>
      <w:rFonts w:ascii="Arial" w:hAnsi="Arial" w:eastAsia="Arial Unicode MS"/>
      <w:lang w:val="en-GB" w:eastAsia="en-US"/>
    </w:rPr>
  </w:style>
  <w:style w:type="character" w:customStyle="1" w:styleId="130">
    <w:name w:val="CR Cover Page Zchn"/>
    <w:link w:val="79"/>
    <w:qFormat/>
    <w:uiPriority w:val="0"/>
    <w:rPr>
      <w:rFonts w:ascii="Arial" w:hAnsi="Arial" w:eastAsia="MS Mincho"/>
      <w:lang w:val="en-GB" w:eastAsia="en-US" w:bidi="ar-SA"/>
    </w:rPr>
  </w:style>
  <w:style w:type="character" w:customStyle="1" w:styleId="131">
    <w:name w:val="TAN Char"/>
    <w:link w:val="66"/>
    <w:qFormat/>
    <w:uiPriority w:val="0"/>
    <w:rPr>
      <w:rFonts w:ascii="Arial" w:hAnsi="Arial" w:eastAsia="Arial Unicode MS"/>
      <w:sz w:val="18"/>
      <w:lang w:val="en-GB" w:eastAsia="en-US"/>
    </w:rPr>
  </w:style>
  <w:style w:type="character" w:customStyle="1" w:styleId="132">
    <w:name w:val="B1 Char"/>
    <w:qFormat/>
    <w:uiPriority w:val="0"/>
    <w:rPr>
      <w:lang w:val="en-GB" w:eastAsia="en-US"/>
    </w:rPr>
  </w:style>
  <w:style w:type="character" w:customStyle="1" w:styleId="133">
    <w:name w:val="B2 Char"/>
    <w:link w:val="70"/>
    <w:qFormat/>
    <w:locked/>
    <w:uiPriority w:val="0"/>
    <w:rPr>
      <w:rFonts w:ascii="Arial" w:hAnsi="Arial" w:eastAsia="Arial Unicode MS"/>
      <w:lang w:val="en-GB" w:eastAsia="en-US"/>
    </w:rPr>
  </w:style>
  <w:style w:type="character" w:customStyle="1" w:styleId="134">
    <w:name w:val="CR Cover Page Char"/>
    <w:qFormat/>
    <w:uiPriority w:val="0"/>
    <w:rPr>
      <w:rFonts w:ascii="Arial" w:hAnsi="Arial"/>
      <w:lang w:val="en-GB" w:eastAsia="en-US" w:bidi="ar-SA"/>
    </w:rPr>
  </w:style>
  <w:style w:type="character" w:customStyle="1" w:styleId="135">
    <w:name w:val="TAH Char"/>
    <w:qFormat/>
    <w:uiPriority w:val="0"/>
    <w:rPr>
      <w:rFonts w:ascii="Arial" w:hAnsi="Arial"/>
      <w:b/>
      <w:sz w:val="18"/>
    </w:rPr>
  </w:style>
  <w:style w:type="paragraph" w:customStyle="1" w:styleId="136">
    <w:name w:val="插图题注"/>
    <w:basedOn w:val="1"/>
    <w:qFormat/>
    <w:uiPriority w:val="0"/>
    <w:pPr>
      <w:jc w:val="left"/>
    </w:pPr>
    <w:rPr>
      <w:rFonts w:ascii="Times New Roman" w:hAnsi="Times New Roman" w:eastAsia="宋体"/>
    </w:rPr>
  </w:style>
  <w:style w:type="paragraph" w:customStyle="1" w:styleId="137">
    <w:name w:val="表格题注"/>
    <w:basedOn w:val="1"/>
    <w:qFormat/>
    <w:uiPriority w:val="0"/>
    <w:pPr>
      <w:jc w:val="left"/>
    </w:pPr>
    <w:rPr>
      <w:rFonts w:ascii="Times New Roman" w:hAnsi="Times New Roman" w:eastAsia="宋体"/>
    </w:rPr>
  </w:style>
  <w:style w:type="paragraph" w:customStyle="1" w:styleId="138">
    <w:name w:val="Default"/>
    <w:unhideWhenUsed/>
    <w:qFormat/>
    <w:uiPriority w:val="99"/>
    <w:pPr>
      <w:widowControl w:val="0"/>
      <w:autoSpaceDE w:val="0"/>
      <w:autoSpaceDN w:val="0"/>
      <w:adjustRightInd w:val="0"/>
    </w:pPr>
    <w:rPr>
      <w:rFonts w:hint="eastAsia" w:ascii="Arial" w:hAnsi="Arial" w:eastAsia="宋体" w:cs="Times New Roman"/>
      <w:color w:val="000000"/>
      <w:sz w:val="24"/>
      <w:szCs w:val="24"/>
      <w:lang w:val="en-US" w:eastAsia="zh-CN" w:bidi="ar-SA"/>
    </w:rPr>
  </w:style>
  <w:style w:type="paragraph" w:customStyle="1" w:styleId="139">
    <w:name w:val="Doc-title"/>
    <w:basedOn w:val="1"/>
    <w:next w:val="89"/>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A8FD37-59B0-44F5-BB19-504A537C695D}">
  <ds:schemaRefs/>
</ds:datastoreItem>
</file>

<file path=docProps/app.xml><?xml version="1.0" encoding="utf-8"?>
<Properties xmlns="http://schemas.openxmlformats.org/officeDocument/2006/extended-properties" xmlns:vt="http://schemas.openxmlformats.org/officeDocument/2006/docPropsVTypes">
  <Template>Normal</Template>
  <Pages>7</Pages>
  <Words>1668</Words>
  <Characters>9510</Characters>
  <Lines>79</Lines>
  <Paragraphs>22</Paragraphs>
  <TotalTime>0</TotalTime>
  <ScaleCrop>false</ScaleCrop>
  <LinksUpToDate>false</LinksUpToDate>
  <CharactersWithSpaces>11156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2022-09-30T08:10:00Z</dcterms:created>
  <dc:creator>CMCC</dc:creator>
  <cp:lastModifiedBy>cmcc</cp:lastModifiedBy>
  <cp:lastPrinted>2021-08-03T02:59:00Z</cp:lastPrinted>
  <dcterms:modified xsi:type="dcterms:W3CDTF">2023-05-12T06:24:03Z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4685AA7824CE4142BF3B3773BC8E9738</vt:lpwstr>
  </property>
</Properties>
</file>